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p>
      <w:pPr>
        <w:spacing w:after="80"/>
        <w:jc w:val="center"/>
      </w:pPr>
      <w:r>
        <w:rPr>
          <w:rFonts w:ascii="Arial" w:cs="Arial" w:eastAsia="Arial" w:hAnsi="Arial"/>
          <w:b/>
          <w:bCs/>
          <w:color w:val="1B3A5C"/>
          <w:sz w:val="42"/>
          <w:szCs w:val="42"/>
        </w:rPr>
        <w:t xml:space="preserve">DOSSIER QWANT</w:t>
      </w:r>
    </w:p>
    <w:p>
      <w:pPr>
        <w:spacing w:after="40"/>
        <w:jc w:val="center"/>
      </w:pPr>
      <w:r>
        <w:rPr>
          <w:rFonts w:ascii="Arial" w:cs="Arial" w:eastAsia="Arial" w:hAnsi="Arial"/>
          <w:color w:val="2E5984"/>
          <w:sz w:val="30"/>
          <w:szCs w:val="30"/>
        </w:rPr>
        <w:t xml:space="preserve">ANALYSE D’UNE DÉNÉGATION</w:t>
      </w:r>
    </w:p>
    <w:p>
      <w:pPr>
        <w:pBdr>
          <w:bottom w:val="single" w:color="2E75B6" w:sz="4" w:space="12"/>
        </w:pBdr>
        <w:spacing w:after="200"/>
        <w:jc w:val="center"/>
      </w:pPr>
      <w:r>
        <w:rPr>
          <w:rFonts w:ascii="Arial" w:cs="Arial" w:eastAsia="Arial" w:hAnsi="Arial"/>
          <w:i/>
          <w:iCs/>
          <w:color w:val="555555"/>
          <w:sz w:val="28"/>
          <w:szCs w:val="28"/>
        </w:rPr>
        <w:t xml:space="preserve">« Nous ne sommes pas un proxy »</w:t>
      </w:r>
    </w:p>
    <w:p>
      <w:pPr>
        <w:spacing w:after="200"/>
      </w:pP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2600"/>
        <w:gridCol w:w="6906"/>
      </w:tblGrid>
      <w:tr>
        <w:tc>
          <w:tcPr>
            <w:tcW w:type="dxa" w:w="2600"/>
            <w:tcBorders>
              <w:top w:val="none" w:sz="0"/>
              <w:left w:val="none" w:sz="0"/>
              <w:bottom w:val="none" w:sz="0"/>
              <w:right w:val="none" w:sz="0"/>
            </w:tcBorders>
            <w:shd w:fill="EBF5FB" w:val="clear"/>
            <w:tcMar>
              <w:top w:type="dxa" w:w="80"/>
              <w:left w:type="dxa" w:w="120"/>
              <w:bottom w:type="dxa" w:w="80"/>
              <w:right w:type="dxa" w:w="120"/>
            </w:tcMar>
          </w:tcPr>
          <w:p>
            <w:r>
              <w:rPr>
                <w:rFonts w:ascii="Arial" w:cs="Arial" w:eastAsia="Arial" w:hAnsi="Arial"/>
                <w:b/>
                <w:bCs/>
                <w:sz w:val="20"/>
                <w:szCs w:val="20"/>
              </w:rPr>
              <w:t xml:space="preserve">Document</w:t>
            </w:r>
          </w:p>
        </w:tc>
        <w:tc>
          <w:tcPr>
            <w:tcW w:type="dxa" w:w="6786"/>
            <w:tcBorders>
              <w:top w:val="none" w:sz="0"/>
              <w:left w:val="none" w:sz="0"/>
              <w:bottom w:val="none" w:sz="0"/>
              <w:right w:val="none" w:sz="0"/>
            </w:tcBorders>
            <w:tcMar>
              <w:top w:type="dxa" w:w="80"/>
              <w:left w:type="dxa" w:w="120"/>
              <w:bottom w:type="dxa" w:w="80"/>
              <w:right w:type="dxa" w:w="120"/>
            </w:tcMar>
          </w:tcPr>
          <w:p>
            <w:r>
              <w:rPr>
                <w:rFonts w:ascii="Arial" w:cs="Arial" w:eastAsia="Arial" w:hAnsi="Arial"/>
                <w:sz w:val="20"/>
                <w:szCs w:val="20"/>
              </w:rPr>
              <w:t xml:space="preserve">Analyse de déclaration de presse</w:t>
            </w:r>
          </w:p>
        </w:tc>
      </w:tr>
      <w:tr>
        <w:tc>
          <w:tcPr>
            <w:tcW w:type="dxa" w:w="2600"/>
            <w:tcBorders>
              <w:top w:val="none" w:sz="0"/>
              <w:left w:val="none" w:sz="0"/>
              <w:bottom w:val="none" w:sz="0"/>
              <w:right w:val="none" w:sz="0"/>
            </w:tcBorders>
            <w:shd w:fill="EBF5FB" w:val="clear"/>
            <w:tcMar>
              <w:top w:type="dxa" w:w="80"/>
              <w:left w:type="dxa" w:w="120"/>
              <w:bottom w:type="dxa" w:w="80"/>
              <w:right w:type="dxa" w:w="120"/>
            </w:tcMar>
          </w:tcPr>
          <w:p>
            <w:r>
              <w:rPr>
                <w:rFonts w:ascii="Arial" w:cs="Arial" w:eastAsia="Arial" w:hAnsi="Arial"/>
                <w:b/>
                <w:bCs/>
                <w:sz w:val="20"/>
                <w:szCs w:val="20"/>
              </w:rPr>
              <w:t xml:space="preserve">Source analysée</w:t>
            </w:r>
          </w:p>
        </w:tc>
        <w:tc>
          <w:tcPr>
            <w:tcW w:type="dxa" w:w="6786"/>
            <w:tcBorders>
              <w:top w:val="none" w:sz="0"/>
              <w:left w:val="none" w:sz="0"/>
              <w:bottom w:val="none" w:sz="0"/>
              <w:right w:val="none" w:sz="0"/>
            </w:tcBorders>
            <w:tcMar>
              <w:top w:type="dxa" w:w="80"/>
              <w:left w:type="dxa" w:w="120"/>
              <w:bottom w:type="dxa" w:w="80"/>
              <w:right w:type="dxa" w:w="120"/>
            </w:tcMar>
          </w:tcPr>
          <w:p>
            <w:r>
              <w:rPr>
                <w:rFonts w:ascii="Arial" w:cs="Arial" w:eastAsia="Arial" w:hAnsi="Arial"/>
                <w:i/>
                <w:iCs/>
                <w:sz w:val="20"/>
                <w:szCs w:val="20"/>
              </w:rPr>
              <w:t xml:space="preserve">La Voix du Nord, 12 septembre 2016</w:t>
            </w:r>
          </w:p>
        </w:tc>
      </w:tr>
      <w:tr>
        <w:tc>
          <w:tcPr>
            <w:tcW w:type="dxa" w:w="2600"/>
            <w:tcBorders>
              <w:top w:val="none" w:sz="0"/>
              <w:left w:val="none" w:sz="0"/>
              <w:bottom w:val="none" w:sz="0"/>
              <w:right w:val="none" w:sz="0"/>
            </w:tcBorders>
            <w:shd w:fill="EBF5FB" w:val="clear"/>
            <w:tcMar>
              <w:top w:type="dxa" w:w="80"/>
              <w:left w:type="dxa" w:w="120"/>
              <w:bottom w:type="dxa" w:w="80"/>
              <w:right w:type="dxa" w:w="120"/>
            </w:tcMar>
          </w:tcPr>
          <w:p>
            <w:r>
              <w:rPr>
                <w:rFonts w:ascii="Arial" w:cs="Arial" w:eastAsia="Arial" w:hAnsi="Arial"/>
                <w:b/>
                <w:bCs/>
                <w:sz w:val="20"/>
                <w:szCs w:val="20"/>
              </w:rPr>
              <w:t xml:space="preserve">Auteur de l’article</w:t>
            </w:r>
          </w:p>
        </w:tc>
        <w:tc>
          <w:tcPr>
            <w:tcW w:type="dxa" w:w="6786"/>
            <w:tcBorders>
              <w:top w:val="none" w:sz="0"/>
              <w:left w:val="none" w:sz="0"/>
              <w:bottom w:val="none" w:sz="0"/>
              <w:right w:val="none" w:sz="0"/>
            </w:tcBorders>
            <w:tcMar>
              <w:top w:type="dxa" w:w="80"/>
              <w:left w:type="dxa" w:w="120"/>
              <w:bottom w:type="dxa" w:w="80"/>
              <w:right w:type="dxa" w:w="120"/>
            </w:tcMar>
          </w:tcPr>
          <w:p>
            <w:r>
              <w:rPr>
                <w:rFonts w:ascii="Arial" w:cs="Arial" w:eastAsia="Arial" w:hAnsi="Arial"/>
                <w:sz w:val="20"/>
                <w:szCs w:val="20"/>
              </w:rPr>
              <w:t xml:space="preserve">Sophie Levy</w:t>
            </w:r>
          </w:p>
        </w:tc>
      </w:tr>
      <w:tr>
        <w:tc>
          <w:tcPr>
            <w:tcW w:type="dxa" w:w="2600"/>
            <w:tcBorders>
              <w:top w:val="none" w:sz="0"/>
              <w:left w:val="none" w:sz="0"/>
              <w:bottom w:val="none" w:sz="0"/>
              <w:right w:val="none" w:sz="0"/>
            </w:tcBorders>
            <w:shd w:fill="EBF5FB" w:val="clear"/>
            <w:tcMar>
              <w:top w:type="dxa" w:w="80"/>
              <w:left w:type="dxa" w:w="120"/>
              <w:bottom w:type="dxa" w:w="80"/>
              <w:right w:type="dxa" w:w="120"/>
            </w:tcMar>
          </w:tcPr>
          <w:p>
            <w:r>
              <w:rPr>
                <w:rFonts w:ascii="Arial" w:cs="Arial" w:eastAsia="Arial" w:hAnsi="Arial"/>
                <w:b/>
                <w:bCs/>
                <w:sz w:val="20"/>
                <w:szCs w:val="20"/>
              </w:rPr>
              <w:t xml:space="preserve">Personne citée</w:t>
            </w:r>
          </w:p>
        </w:tc>
        <w:tc>
          <w:tcPr>
            <w:tcW w:type="dxa" w:w="6786"/>
            <w:tcBorders>
              <w:top w:val="none" w:sz="0"/>
              <w:left w:val="none" w:sz="0"/>
              <w:bottom w:val="none" w:sz="0"/>
              <w:right w:val="none" w:sz="0"/>
            </w:tcBorders>
            <w:tcMar>
              <w:top w:type="dxa" w:w="80"/>
              <w:left w:type="dxa" w:w="120"/>
              <w:bottom w:type="dxa" w:w="80"/>
              <w:right w:type="dxa" w:w="120"/>
            </w:tcMar>
          </w:tcPr>
          <w:p>
            <w:r>
              <w:rPr>
                <w:rFonts w:ascii="Arial" w:cs="Arial" w:eastAsia="Arial" w:hAnsi="Arial"/>
                <w:sz w:val="20"/>
                <w:szCs w:val="20"/>
              </w:rPr>
              <w:t xml:space="preserve">Éric Léandri, cofondateur et PDG de Qwant</w:t>
            </w:r>
          </w:p>
        </w:tc>
      </w:tr>
      <w:tr>
        <w:tc>
          <w:tcPr>
            <w:tcW w:type="dxa" w:w="2600"/>
            <w:tcBorders>
              <w:top w:val="none" w:sz="0"/>
              <w:left w:val="none" w:sz="0"/>
              <w:bottom w:val="none" w:sz="0"/>
              <w:right w:val="none" w:sz="0"/>
            </w:tcBorders>
            <w:shd w:fill="EBF5FB" w:val="clear"/>
            <w:tcMar>
              <w:top w:type="dxa" w:w="80"/>
              <w:left w:type="dxa" w:w="120"/>
              <w:bottom w:type="dxa" w:w="80"/>
              <w:right w:type="dxa" w:w="120"/>
            </w:tcMar>
          </w:tcPr>
          <w:p>
            <w:r>
              <w:rPr>
                <w:rFonts w:ascii="Arial" w:cs="Arial" w:eastAsia="Arial" w:hAnsi="Arial"/>
                <w:b/>
                <w:bCs/>
                <w:sz w:val="20"/>
                <w:szCs w:val="20"/>
              </w:rPr>
              <w:t xml:space="preserve">Déclaration visée</w:t>
            </w:r>
          </w:p>
        </w:tc>
        <w:tc>
          <w:tcPr>
            <w:tcW w:type="dxa" w:w="6786"/>
            <w:tcBorders>
              <w:top w:val="none" w:sz="0"/>
              <w:left w:val="none" w:sz="0"/>
              <w:bottom w:val="none" w:sz="0"/>
              <w:right w:val="none" w:sz="0"/>
            </w:tcBorders>
            <w:tcMar>
              <w:top w:type="dxa" w:w="80"/>
              <w:left w:type="dxa" w:w="120"/>
              <w:bottom w:type="dxa" w:w="80"/>
              <w:right w:type="dxa" w:w="120"/>
            </w:tcMar>
          </w:tcPr>
          <w:p>
            <w:r>
              <w:rPr>
                <w:rFonts w:ascii="Arial" w:cs="Arial" w:eastAsia="Arial" w:hAnsi="Arial"/>
                <w:sz w:val="20"/>
                <w:szCs w:val="20"/>
              </w:rPr>
              <w:t xml:space="preserve">« Nous ne sommes pas des proxy »</w:t>
            </w:r>
          </w:p>
        </w:tc>
      </w:tr>
      <w:tr>
        <w:tc>
          <w:tcPr>
            <w:tcW w:type="dxa" w:w="2600"/>
            <w:tcBorders>
              <w:top w:val="none" w:sz="0"/>
              <w:left w:val="none" w:sz="0"/>
              <w:bottom w:val="none" w:sz="0"/>
              <w:right w:val="none" w:sz="0"/>
            </w:tcBorders>
            <w:shd w:fill="EBF5FB" w:val="clear"/>
            <w:tcMar>
              <w:top w:type="dxa" w:w="80"/>
              <w:left w:type="dxa" w:w="120"/>
              <w:bottom w:type="dxa" w:w="80"/>
              <w:right w:type="dxa" w:w="120"/>
            </w:tcMar>
          </w:tcPr>
          <w:p>
            <w:r>
              <w:rPr>
                <w:rFonts w:ascii="Arial" w:cs="Arial" w:eastAsia="Arial" w:hAnsi="Arial"/>
                <w:b/>
                <w:bCs/>
                <w:sz w:val="20"/>
                <w:szCs w:val="20"/>
              </w:rPr>
              <w:t xml:space="preserve">Date d’analyse</w:t>
            </w:r>
          </w:p>
        </w:tc>
        <w:tc>
          <w:tcPr>
            <w:tcW w:type="dxa" w:w="6786"/>
            <w:tcBorders>
              <w:top w:val="none" w:sz="0"/>
              <w:left w:val="none" w:sz="0"/>
              <w:bottom w:val="none" w:sz="0"/>
              <w:right w:val="none" w:sz="0"/>
            </w:tcBorders>
            <w:tcMar>
              <w:top w:type="dxa" w:w="80"/>
              <w:left w:type="dxa" w:w="120"/>
              <w:bottom w:type="dxa" w:w="80"/>
              <w:right w:type="dxa" w:w="120"/>
            </w:tcMar>
          </w:tcPr>
          <w:p>
            <w:r>
              <w:rPr>
                <w:rFonts w:ascii="Arial" w:cs="Arial" w:eastAsia="Arial" w:hAnsi="Arial"/>
                <w:sz w:val="20"/>
                <w:szCs w:val="20"/>
              </w:rPr>
              <w:t xml:space="preserve">10 mars 2026</w:t>
            </w:r>
          </w:p>
        </w:tc>
      </w:tr>
      <w:tr>
        <w:tc>
          <w:tcPr>
            <w:tcW w:type="dxa" w:w="2600"/>
            <w:tcBorders>
              <w:top w:val="none" w:sz="0"/>
              <w:left w:val="none" w:sz="0"/>
              <w:bottom w:val="none" w:sz="0"/>
              <w:right w:val="none" w:sz="0"/>
            </w:tcBorders>
            <w:shd w:fill="EBF5FB" w:val="clear"/>
            <w:tcMar>
              <w:top w:type="dxa" w:w="80"/>
              <w:left w:type="dxa" w:w="120"/>
              <w:bottom w:type="dxa" w:w="80"/>
              <w:right w:type="dxa" w:w="120"/>
            </w:tcMar>
          </w:tcPr>
          <w:p>
            <w:r>
              <w:rPr>
                <w:rFonts w:ascii="Arial" w:cs="Arial" w:eastAsia="Arial" w:hAnsi="Arial"/>
                <w:b/>
                <w:bCs/>
                <w:sz w:val="20"/>
                <w:szCs w:val="20"/>
              </w:rPr>
              <w:t xml:space="preserve">Classification</w:t>
            </w:r>
          </w:p>
        </w:tc>
        <w:tc>
          <w:tcPr>
            <w:tcW w:type="dxa" w:w="6786"/>
            <w:tcBorders>
              <w:top w:val="none" w:sz="0"/>
              <w:left w:val="none" w:sz="0"/>
              <w:bottom w:val="none" w:sz="0"/>
              <w:right w:val="none" w:sz="0"/>
            </w:tcBorders>
            <w:tcMar>
              <w:top w:type="dxa" w:w="80"/>
              <w:left w:type="dxa" w:w="120"/>
              <w:bottom w:type="dxa" w:w="80"/>
              <w:right w:type="dxa" w:w="120"/>
            </w:tcMar>
          </w:tcPr>
          <w:p>
            <w:r>
              <w:rPr>
                <w:rFonts w:ascii="Arial" w:cs="Arial" w:eastAsia="Arial" w:hAnsi="Arial"/>
                <w:sz w:val="20"/>
                <w:szCs w:val="20"/>
              </w:rPr>
              <w:t xml:space="preserve">Pièce d’analyse — Dossier AttaQwant</w:t>
            </w:r>
          </w:p>
        </w:tc>
      </w:tr>
    </w:tbl>
    <w:p>
      <w:pPr>
        <w:spacing w:after="200"/>
      </w:pPr>
    </w:p>
    <w:p>
      <w:pPr>
        <w:spacing w:after="120"/>
        <w:jc w:val="both"/>
      </w:pPr>
      <w:r>
        <w:rPr>
          <w:rFonts w:ascii="Arial" w:cs="Arial" w:eastAsia="Arial" w:hAnsi="Arial"/>
          <w:sz w:val="22"/>
          <w:szCs w:val="22"/>
        </w:rPr>
        <w:t xml:space="preserve">Ce document analyse en détail la déclaration d’Éric Léandri dans La Voix du Nord en septembre 2016, dans laquelle il affirmait que Qwant n’était « pas un proxy », contrairement à DuckDuckGo ou Yandex. Il retrace le contexte, identifie les motivations de cette dénégation, confronte l’affirmation aux faits documentés, et établit les conséquences de ce mensonge sur les financements publics.</w:t>
      </w:r>
    </w:p>
    <w:p>
      <w:r>
        <w:br w:type="page"/>
      </w:r>
    </w:p>
    <w:p>
      <w:pPr>
        <w:pStyle w:val="Heading1"/>
        <w:spacing w:after="160" w:before="360"/>
      </w:pPr>
      <w:r>
        <w:rPr>
          <w:rFonts w:ascii="Arial" w:cs="Arial" w:eastAsia="Arial" w:hAnsi="Arial"/>
          <w:b/>
          <w:bCs/>
          <w:color w:val="1B3A5C"/>
          <w:sz w:val="30"/>
          <w:szCs w:val="30"/>
        </w:rPr>
        <w:t xml:space="preserve">1. Le contexte : une accusation qui poursuit Qwant depuis sa création</w:t>
      </w:r>
    </w:p>
    <w:p>
      <w:pPr>
        <w:pStyle w:val="Heading2"/>
        <w:spacing w:after="120" w:before="280"/>
      </w:pPr>
      <w:r>
        <w:rPr>
          <w:rFonts w:ascii="Arial" w:cs="Arial" w:eastAsia="Arial" w:hAnsi="Arial"/>
          <w:b/>
          <w:bCs/>
          <w:color w:val="2E5984"/>
          <w:sz w:val="26"/>
          <w:szCs w:val="26"/>
        </w:rPr>
        <w:t xml:space="preserve">1.1 Février 2013 : les premiers soupçons</w:t>
      </w:r>
    </w:p>
    <w:p>
      <w:pPr>
        <w:spacing w:after="120"/>
        <w:jc w:val="both"/>
      </w:pPr>
      <w:r>
        <w:rPr>
          <w:rFonts w:ascii="Arial" w:cs="Arial" w:eastAsia="Arial" w:hAnsi="Arial"/>
          <w:sz w:val="22"/>
          <w:szCs w:val="22"/>
        </w:rPr>
        <w:t xml:space="preserve">Qwant est lancé en février 2013, présenté comme un « moteur de recherche de nouvelle génération » français, alternatif à Google. Mais dès les premières heures, un blogueur anonyme identifie des </w:t>
      </w:r>
      <w:r>
        <w:rPr>
          <w:rFonts w:ascii="Arial" w:cs="Arial" w:eastAsia="Arial" w:hAnsi="Arial"/>
          <w:b/>
          <w:bCs/>
          <w:sz w:val="22"/>
          <w:szCs w:val="22"/>
        </w:rPr>
        <w:t xml:space="preserve">similitudes flagrantes entre les résultats de Qwant et ceux de Yahoo/Bing</w:t>
      </w:r>
      <w:r>
        <w:rPr>
          <w:rFonts w:ascii="Arial" w:cs="Arial" w:eastAsia="Arial" w:hAnsi="Arial"/>
          <w:sz w:val="22"/>
          <w:szCs w:val="22"/>
        </w:rPr>
        <w:t xml:space="preserve">. Next INpact publie alors une enquête au titre dévastateur : « Qwant, un vrai faux moteur de recherche ? Des accusations aux explications ».</w:t>
      </w:r>
      <w:r>
        <w:rPr>
          <w:rStyle w:val="FootnoteReference"/>
        </w:rPr>
        <w:footnoteReference w:id="1"/>
      </w:r>
    </w:p>
    <w:p>
      <w:pPr>
        <w:spacing w:after="120"/>
        <w:jc w:val="both"/>
      </w:pPr>
      <w:r>
        <w:rPr>
          <w:rFonts w:ascii="Arial" w:cs="Arial" w:eastAsia="Arial" w:hAnsi="Arial"/>
          <w:sz w:val="22"/>
          <w:szCs w:val="22"/>
        </w:rPr>
        <w:t xml:space="preserve">L’enquête révèle que les résultats web et média de Qwant proviennent d’un contrat payant avec l’API Bing de Microsoft, que les résultats Shopping ne sont que des flux Amazon, et que les résultats sociaux sont identiques à ceux de Kurrently. Qwant reconnaît alors que ne pas avoir mentionné Bing était une « erreur », tout en promettant que sa propre technologie serait « mise en place très rapidement ».</w:t>
      </w:r>
    </w:p>
    <w:p>
      <w:pPr>
        <w:pStyle w:val="Heading2"/>
        <w:spacing w:after="120" w:before="280"/>
      </w:pPr>
      <w:r>
        <w:rPr>
          <w:rFonts w:ascii="Arial" w:cs="Arial" w:eastAsia="Arial" w:hAnsi="Arial"/>
          <w:b/>
          <w:bCs/>
          <w:color w:val="2E5984"/>
          <w:sz w:val="26"/>
          <w:szCs w:val="26"/>
        </w:rPr>
        <w:t xml:space="preserve">1.2 2013–2015 : la communauté SEO démonte le discours</w:t>
      </w:r>
    </w:p>
    <w:p>
      <w:pPr>
        <w:spacing w:after="120"/>
        <w:jc w:val="both"/>
      </w:pPr>
      <w:r>
        <w:rPr>
          <w:rFonts w:ascii="Arial" w:cs="Arial" w:eastAsia="Arial" w:hAnsi="Arial"/>
          <w:sz w:val="22"/>
          <w:szCs w:val="22"/>
        </w:rPr>
        <w:t xml:space="preserve">Sur le forum WebRankInfo, le fil de discussion « Qwant vrai ou faux moteur ? »</w:t>
      </w:r>
      <w:r>
        <w:rPr>
          <w:rStyle w:val="FootnoteReference"/>
        </w:rPr>
        <w:footnoteReference w:id="10"/>
      </w:r>
      <w:r>
        <w:rPr>
          <w:rFonts w:ascii="Arial" w:cs="Arial" w:eastAsia="Arial" w:hAnsi="Arial"/>
          <w:sz w:val="22"/>
          <w:szCs w:val="22"/>
        </w:rPr>
        <w:t xml:space="preserve"> devient un référentiel critique. Des tests indépendants sont menés par des spécialistes du référencement : ils publient des contenus uniques, attendent que le crawler de Qwant les visite, puis recherchent ces contenus dans le moteur. </w:t>
      </w:r>
      <w:r>
        <w:rPr>
          <w:rFonts w:ascii="Arial" w:cs="Arial" w:eastAsia="Arial" w:hAnsi="Arial"/>
          <w:b/>
          <w:bCs/>
          <w:sz w:val="22"/>
          <w:szCs w:val="22"/>
        </w:rPr>
        <w:t xml:space="preserve">Résultat : les mots uniques n’apparaissent jamais dans les résultats de Qwant</w:t>
      </w:r>
      <w:r>
        <w:rPr>
          <w:rFonts w:ascii="Arial" w:cs="Arial" w:eastAsia="Arial" w:hAnsi="Arial"/>
          <w:sz w:val="22"/>
          <w:szCs w:val="22"/>
        </w:rPr>
        <w:t xml:space="preserve">, prouvant que l’index propre est inexistant ou non fonctionnel.</w:t>
      </w:r>
    </w:p>
    <w:p>
      <w:pPr>
        <w:spacing w:after="120"/>
        <w:jc w:val="both"/>
      </w:pPr>
      <w:r>
        <w:rPr>
          <w:rFonts w:ascii="Arial" w:cs="Arial" w:eastAsia="Arial" w:hAnsi="Arial"/>
          <w:sz w:val="22"/>
          <w:szCs w:val="22"/>
        </w:rPr>
        <w:t xml:space="preserve">Les contributeurs du forum établissent que les résultats web de Qwant sont identiques à ceux de Bing dans environ 99 % des cas. La « nouvelle version » d’avril 2015 reste basée sur l’API Bing, sans l’afficher clairement, en violation des conditions d’utilisation de l’API Bing elle-même.</w:t>
      </w:r>
    </w:p>
    <w:p>
      <w:pPr>
        <w:pStyle w:val="Heading2"/>
        <w:spacing w:after="120" w:before="280"/>
      </w:pPr>
      <w:r>
        <w:rPr>
          <w:rFonts w:ascii="Arial" w:cs="Arial" w:eastAsia="Arial" w:hAnsi="Arial"/>
          <w:b/>
          <w:bCs/>
          <w:color w:val="2E5984"/>
          <w:sz w:val="26"/>
          <w:szCs w:val="26"/>
        </w:rPr>
        <w:t xml:space="preserve">1.3 Été 2016 : la manipulation avant l’audit</w:t>
      </w:r>
    </w:p>
    <w:p>
      <w:pPr>
        <w:spacing w:after="120"/>
        <w:jc w:val="both"/>
      </w:pPr>
      <w:r>
        <w:rPr>
          <w:rFonts w:ascii="Arial" w:cs="Arial" w:eastAsia="Arial" w:hAnsi="Arial"/>
          <w:sz w:val="22"/>
          <w:szCs w:val="22"/>
        </w:rPr>
        <w:t xml:space="preserve">L’année 2016 est décisive. La Caisse des Dépôts et Consignations prépare une entrée au capital de Qwant et commande un audit technique. Or, fait révélé ultérieurement, </w:t>
      </w:r>
      <w:r>
        <w:rPr>
          <w:rFonts w:ascii="Arial" w:cs="Arial" w:eastAsia="Arial" w:hAnsi="Arial"/>
          <w:b/>
          <w:bCs/>
          <w:sz w:val="22"/>
          <w:szCs w:val="22"/>
        </w:rPr>
        <w:t xml:space="preserve">quelques jours avant cet audit, un amendement du code est effectué pour réduire l’utilisation de l’API Bing</w:t>
      </w:r>
      <w:r>
        <w:rPr>
          <w:rFonts w:ascii="Arial" w:cs="Arial" w:eastAsia="Arial" w:hAnsi="Arial"/>
          <w:sz w:val="22"/>
          <w:szCs w:val="22"/>
        </w:rPr>
        <w:t xml:space="preserve">.</w:t>
      </w:r>
      <w:r>
        <w:rPr>
          <w:rStyle w:val="FootnoteReference"/>
        </w:rPr>
        <w:footnoteReference w:id="2"/>
      </w:r>
      <w:r>
        <w:rPr>
          <w:rFonts w:ascii="Arial" w:cs="Arial" w:eastAsia="Arial" w:hAnsi="Arial"/>
          <w:sz w:val="22"/>
          <w:szCs w:val="22"/>
        </w:rPr>
        <w:t xml:space="preserve"> Cette modification délibérée visait à minimiser la dépendance apparente à Bing au moment précis où des investisseurs publics évaluaient le produit.</w:t>
      </w:r>
    </w:p>
    <w:p>
      <w:pPr>
        <w:spacing w:after="120"/>
        <w:jc w:val="both"/>
      </w:pPr>
      <w:r>
        <w:rPr>
          <w:rFonts w:ascii="Arial" w:cs="Arial" w:eastAsia="Arial" w:hAnsi="Arial"/>
          <w:sz w:val="22"/>
          <w:szCs w:val="22"/>
        </w:rPr>
        <w:t xml:space="preserve">C’est dans ce contexte exact — un audit imminent, une manipulation du code en cours, et des années d’accusations accumulées — qu’Éric Léandri donne son interview à La Voix du Nord en septembre 2016.</w:t>
      </w:r>
    </w:p>
    <w:p>
      <w:r>
        <w:br w:type="page"/>
      </w:r>
    </w:p>
    <w:p>
      <w:pPr>
        <w:pStyle w:val="Heading1"/>
        <w:spacing w:after="160" w:before="360"/>
      </w:pPr>
      <w:r>
        <w:rPr>
          <w:rFonts w:ascii="Arial" w:cs="Arial" w:eastAsia="Arial" w:hAnsi="Arial"/>
          <w:b/>
          <w:bCs/>
          <w:color w:val="1B3A5C"/>
          <w:sz w:val="30"/>
          <w:szCs w:val="30"/>
        </w:rPr>
        <w:t xml:space="preserve">2. La déclaration : anatomie d’un mensonge calculé</w:t>
      </w:r>
    </w:p>
    <w:p>
      <w:pPr>
        <w:pStyle w:val="Heading2"/>
        <w:spacing w:after="120" w:before="280"/>
      </w:pPr>
      <w:r>
        <w:rPr>
          <w:rFonts w:ascii="Arial" w:cs="Arial" w:eastAsia="Arial" w:hAnsi="Arial"/>
          <w:b/>
          <w:bCs/>
          <w:color w:val="2E5984"/>
          <w:sz w:val="26"/>
          <w:szCs w:val="26"/>
        </w:rPr>
        <w:t xml:space="preserve">2.1 Les mots exacts</w:t>
      </w:r>
    </w:p>
    <w:p>
      <w:pPr>
        <w:spacing w:after="120"/>
        <w:jc w:val="both"/>
      </w:pPr>
      <w:r>
        <w:rPr>
          <w:rFonts w:ascii="Arial" w:cs="Arial" w:eastAsia="Arial" w:hAnsi="Arial"/>
          <w:sz w:val="22"/>
          <w:szCs w:val="22"/>
        </w:rPr>
        <w:t xml:space="preserve">Dans l’article de La Voix du Nord du 12 septembre 2016</w:t>
      </w:r>
      <w:r>
        <w:rPr>
          <w:rStyle w:val="FootnoteReference"/>
        </w:rPr>
        <w:footnoteReference w:id="9"/>
      </w:r>
      <w:r>
        <w:rPr>
          <w:rFonts w:ascii="Arial" w:cs="Arial" w:eastAsia="Arial" w:hAnsi="Arial"/>
          <w:sz w:val="22"/>
          <w:szCs w:val="22"/>
        </w:rPr>
        <w:t xml:space="preserve">, Éric Léandri déclare :</w:t>
      </w:r>
    </w:p>
    <w:p>
      <w:pPr>
        <w:pBdr>
          <w:left w:val="single" w:color="2E75B6" w:sz="8" w:space="8"/>
        </w:pBdr>
        <w:spacing w:after="140"/>
        <w:ind w:left="600" w:right="600"/>
      </w:pPr>
      <w:r>
        <w:rPr>
          <w:rFonts w:ascii="Arial" w:cs="Arial" w:eastAsia="Arial" w:hAnsi="Arial"/>
          <w:i/>
          <w:iCs/>
          <w:color w:val="333333"/>
          <w:sz w:val="22"/>
          <w:szCs w:val="22"/>
        </w:rPr>
        <w:t xml:space="preserve">« Contrairement à DuckDuckGo, par exemple, ou Yandex… nous ne sommes pas des proxy »</w:t>
      </w:r>
    </w:p>
    <w:p>
      <w:pPr>
        <w:pStyle w:val="Heading2"/>
        <w:spacing w:after="120" w:before="280"/>
      </w:pPr>
      <w:r>
        <w:rPr>
          <w:rFonts w:ascii="Arial" w:cs="Arial" w:eastAsia="Arial" w:hAnsi="Arial"/>
          <w:b/>
          <w:bCs/>
          <w:color w:val="2E5984"/>
          <w:sz w:val="26"/>
          <w:szCs w:val="26"/>
        </w:rPr>
        <w:t xml:space="preserve">2.2 Une rhétorique de distinction fallacieuse</w:t>
      </w:r>
    </w:p>
    <w:p>
      <w:pPr>
        <w:spacing w:after="120"/>
        <w:jc w:val="both"/>
      </w:pPr>
      <w:r>
        <w:rPr>
          <w:rFonts w:ascii="Arial" w:cs="Arial" w:eastAsia="Arial" w:hAnsi="Arial"/>
          <w:sz w:val="22"/>
          <w:szCs w:val="22"/>
        </w:rPr>
        <w:t xml:space="preserve">Cette phrase n’est pas une simple négation. Elle emploie un procédé rhétorique précis : en nommant DuckDuckGo et Yandex comme exemples de « proxy », Léandri crée une catégorie négative dans laquelle il place ses concurrents, pour mieux en exclure Qwant. C’est une technique de positionnement par opposition : définir ce qu’on n’est pas pour éviter de définir ce qu’on est.</w:t>
      </w:r>
    </w:p>
    <w:p>
      <w:pPr>
        <w:spacing w:after="120"/>
        <w:jc w:val="both"/>
      </w:pPr>
      <w:r>
        <w:rPr>
          <w:rFonts w:ascii="Arial" w:cs="Arial" w:eastAsia="Arial" w:hAnsi="Arial"/>
          <w:sz w:val="22"/>
          <w:szCs w:val="22"/>
        </w:rPr>
        <w:t xml:space="preserve">L’ironie est double. D’une part, </w:t>
      </w:r>
      <w:r>
        <w:rPr>
          <w:rFonts w:ascii="Arial" w:cs="Arial" w:eastAsia="Arial" w:hAnsi="Arial"/>
          <w:b/>
          <w:bCs/>
          <w:sz w:val="22"/>
          <w:szCs w:val="22"/>
        </w:rPr>
        <w:t xml:space="preserve">DuckDuckGo assume publiquement utiliser Bing</w:t>
      </w:r>
      <w:r>
        <w:rPr>
          <w:rFonts w:ascii="Arial" w:cs="Arial" w:eastAsia="Arial" w:hAnsi="Arial"/>
          <w:sz w:val="22"/>
          <w:szCs w:val="22"/>
        </w:rPr>
        <w:t xml:space="preserve"> et ne prétend jamais disposer d’un index propre. Sa promesse porte sur la vie privée, pas sur l’indépendance technologique. D’autre part, Yandex dispose réellement de son propre index web et de son propre crawler — c’est précisément l’un des rares moteurs au monde à ne pas être un proxy. Léandri le qualifie pourtant de proxy, ce qui est factuellement faux.</w:t>
      </w:r>
    </w:p>
    <w:p>
      <w:pPr>
        <w:spacing w:after="120"/>
        <w:jc w:val="both"/>
      </w:pPr>
      <w:r>
        <w:rPr>
          <w:rFonts w:ascii="Arial" w:cs="Arial" w:eastAsia="Arial" w:hAnsi="Arial"/>
          <w:sz w:val="22"/>
          <w:szCs w:val="22"/>
        </w:rPr>
        <w:t xml:space="preserve">En résumé : il accuse de « proxy » un moteur qui l’assume honnêtement (DuckDuckGo) et un moteur qui ne l’est tout simplement pas (Yandex), pour se prétendre différent alors qu’il est lui-même, factuellement, un proxy de Bing.</w:t>
      </w:r>
    </w:p>
    <w:p>
      <w:pPr>
        <w:pStyle w:val="Heading2"/>
        <w:spacing w:after="120" w:before="280"/>
      </w:pPr>
      <w:r>
        <w:rPr>
          <w:rFonts w:ascii="Arial" w:cs="Arial" w:eastAsia="Arial" w:hAnsi="Arial"/>
          <w:b/>
          <w:bCs/>
          <w:color w:val="2E5984"/>
          <w:sz w:val="26"/>
          <w:szCs w:val="26"/>
        </w:rPr>
        <w:t xml:space="preserve">2.3 Pourquoi Léandri ressent le besoin de le dire</w:t>
      </w:r>
    </w:p>
    <w:p>
      <w:pPr>
        <w:spacing w:after="120"/>
        <w:jc w:val="both"/>
      </w:pPr>
      <w:r>
        <w:rPr>
          <w:rFonts w:ascii="Arial" w:cs="Arial" w:eastAsia="Arial" w:hAnsi="Arial"/>
          <w:sz w:val="22"/>
          <w:szCs w:val="22"/>
        </w:rPr>
        <w:t xml:space="preserve">La question centrale est : pourquoi un PDG ressent-il le besoin, dans une interview à un quotidien régional, de nier spécifiquement être un proxy ? On ne nie publiquement que ce qui est déjà suspecté. Cette dénégation révèle que l’accusation était devenue omniprésente et constituait une menace existentielle pour le projet.</w:t>
      </w:r>
    </w:p>
    <w:p>
      <w:pPr>
        <w:spacing w:after="120"/>
        <w:jc w:val="both"/>
      </w:pPr>
      <w:r>
        <w:rPr>
          <w:rFonts w:ascii="Arial" w:cs="Arial" w:eastAsia="Arial" w:hAnsi="Arial"/>
          <w:sz w:val="22"/>
          <w:szCs w:val="22"/>
        </w:rPr>
        <w:t xml:space="preserve">Les motivations convergentes étaient multiples :</w:t>
      </w:r>
    </w:p>
    <w:p>
      <w:pPr>
        <w:pStyle w:val="ListParagraph"/>
        <w:numPr>
          <w:ilvl w:val="0"/>
          <w:numId w:val="2"/>
        </w:numPr>
        <w:spacing w:after="80"/>
      </w:pPr>
      <w:r>
        <w:rPr>
          <w:rFonts w:ascii="Arial" w:cs="Arial" w:eastAsia="Arial" w:hAnsi="Arial"/>
          <w:b/>
          <w:bCs/>
          <w:sz w:val="22"/>
          <w:szCs w:val="22"/>
        </w:rPr>
        <w:t xml:space="preserve">Pression de la communauté technique : </w:t>
      </w:r>
      <w:r>
        <w:rPr>
          <w:rFonts w:ascii="Arial" w:cs="Arial" w:eastAsia="Arial" w:hAnsi="Arial"/>
          <w:sz w:val="22"/>
          <w:szCs w:val="22"/>
        </w:rPr>
        <w:t xml:space="preserve">depuis 2013, les forums spécialisés (WebRankInfo, Hacker News) démontaient systématiquement le discours d’indépendance technologique.</w:t>
      </w:r>
    </w:p>
    <w:p>
      <w:pPr>
        <w:pStyle w:val="ListParagraph"/>
        <w:numPr>
          <w:ilvl w:val="0"/>
          <w:numId w:val="2"/>
        </w:numPr>
        <w:spacing w:after="80"/>
      </w:pPr>
      <w:r>
        <w:rPr>
          <w:rFonts w:ascii="Arial" w:cs="Arial" w:eastAsia="Arial" w:hAnsi="Arial"/>
          <w:b/>
          <w:bCs/>
          <w:sz w:val="22"/>
          <w:szCs w:val="22"/>
        </w:rPr>
        <w:t xml:space="preserve">Pression des investisseurs : </w:t>
      </w:r>
      <w:r>
        <w:rPr>
          <w:rFonts w:ascii="Arial" w:cs="Arial" w:eastAsia="Arial" w:hAnsi="Arial"/>
          <w:sz w:val="22"/>
          <w:szCs w:val="22"/>
        </w:rPr>
        <w:t xml:space="preserve">la Caisse des Dépôts était en cours d’audit, et BPI France avait déjà soulevé le problème de la dépendance à Bing.</w:t>
      </w:r>
    </w:p>
    <w:p>
      <w:pPr>
        <w:pStyle w:val="ListParagraph"/>
        <w:numPr>
          <w:ilvl w:val="0"/>
          <w:numId w:val="2"/>
        </w:numPr>
        <w:spacing w:after="80"/>
      </w:pPr>
      <w:r>
        <w:rPr>
          <w:rFonts w:ascii="Arial" w:cs="Arial" w:eastAsia="Arial" w:hAnsi="Arial"/>
          <w:b/>
          <w:bCs/>
          <w:sz w:val="22"/>
          <w:szCs w:val="22"/>
        </w:rPr>
        <w:t xml:space="preserve">Pression journalistique : </w:t>
      </w:r>
      <w:r>
        <w:rPr>
          <w:rFonts w:ascii="Arial" w:cs="Arial" w:eastAsia="Arial" w:hAnsi="Arial"/>
          <w:sz w:val="22"/>
          <w:szCs w:val="22"/>
        </w:rPr>
        <w:t xml:space="preserve">Next INpact menait des enquêtes approfondies depuis 2013 sur les liens avec Microsoft.</w:t>
      </w:r>
    </w:p>
    <w:p>
      <w:pPr>
        <w:pStyle w:val="ListParagraph"/>
        <w:numPr>
          <w:ilvl w:val="0"/>
          <w:numId w:val="2"/>
        </w:numPr>
        <w:spacing w:after="80"/>
      </w:pPr>
      <w:r>
        <w:rPr>
          <w:rFonts w:ascii="Arial" w:cs="Arial" w:eastAsia="Arial" w:hAnsi="Arial"/>
          <w:b/>
          <w:bCs/>
          <w:sz w:val="22"/>
          <w:szCs w:val="22"/>
        </w:rPr>
        <w:t xml:space="preserve">Pression concurrentielle : </w:t>
      </w:r>
      <w:r>
        <w:rPr>
          <w:rFonts w:ascii="Arial" w:cs="Arial" w:eastAsia="Arial" w:hAnsi="Arial"/>
          <w:sz w:val="22"/>
          <w:szCs w:val="22"/>
        </w:rPr>
        <w:t xml:space="preserve">Marc Longo (Annuaire Français) qualifiait publiquement Qwant de « petit méta-moteur sous Bing » sur LinkedIn et Twitter.</w:t>
      </w:r>
      <w:r>
        <w:rPr>
          <w:rStyle w:val="FootnoteReference"/>
        </w:rPr>
        <w:footnoteReference w:id="12"/>
      </w:r>
    </w:p>
    <w:p>
      <w:r>
        <w:br w:type="page"/>
      </w:r>
    </w:p>
    <w:p>
      <w:pPr>
        <w:pStyle w:val="Heading1"/>
        <w:spacing w:after="160" w:before="360"/>
      </w:pPr>
      <w:r>
        <w:rPr>
          <w:rFonts w:ascii="Arial" w:cs="Arial" w:eastAsia="Arial" w:hAnsi="Arial"/>
          <w:b/>
          <w:bCs/>
          <w:color w:val="1B3A5C"/>
          <w:sz w:val="30"/>
          <w:szCs w:val="30"/>
        </w:rPr>
        <w:t xml:space="preserve">3. Confrontation aux faits : ce que les audits ont révélé</w:t>
      </w:r>
    </w:p>
    <w:p>
      <w:pPr>
        <w:pStyle w:val="Heading2"/>
        <w:spacing w:after="120" w:before="280"/>
      </w:pPr>
      <w:r>
        <w:rPr>
          <w:rFonts w:ascii="Arial" w:cs="Arial" w:eastAsia="Arial" w:hAnsi="Arial"/>
          <w:b/>
          <w:bCs/>
          <w:color w:val="2E5984"/>
          <w:sz w:val="26"/>
          <w:szCs w:val="26"/>
        </w:rPr>
        <w:t xml:space="preserve">3.1 L’audit DINUM de 2019 : le verdict définitif</w:t>
      </w:r>
    </w:p>
    <w:p>
      <w:pPr>
        <w:spacing w:after="120"/>
        <w:jc w:val="both"/>
      </w:pPr>
      <w:r>
        <w:rPr>
          <w:rFonts w:ascii="Arial" w:cs="Arial" w:eastAsia="Arial" w:hAnsi="Arial"/>
          <w:sz w:val="22"/>
          <w:szCs w:val="22"/>
        </w:rPr>
        <w:t xml:space="preserve">En août 2019, la Direction interministérielle du numérique (DINUM), l’ANSSI, le ministère de la Défense et l’École Normale Supérieure conduisent un audit technique d’une journée chez Qwant.</w:t>
      </w:r>
      <w:r>
        <w:rPr>
          <w:rStyle w:val="FootnoteReference"/>
        </w:rPr>
        <w:footnoteReference w:id="4"/>
      </w:r>
      <w:r>
        <w:rPr>
          <w:rFonts w:ascii="Arial" w:cs="Arial" w:eastAsia="Arial" w:hAnsi="Arial"/>
          <w:sz w:val="22"/>
          <w:szCs w:val="22"/>
        </w:rPr>
        <w:t xml:space="preserve"> Le constat est accablant :</w:t>
      </w:r>
    </w:p>
    <w:p>
      <w:pPr>
        <w:pBdr>
          <w:left w:val="single" w:color="2E75B6" w:sz="8" w:space="8"/>
        </w:pBdr>
        <w:spacing w:after="140"/>
        <w:ind w:left="600" w:right="600"/>
      </w:pPr>
      <w:r>
        <w:rPr>
          <w:rFonts w:ascii="Arial" w:cs="Arial" w:eastAsia="Arial" w:hAnsi="Arial"/>
          <w:i/>
          <w:iCs/>
          <w:color w:val="333333"/>
          <w:sz w:val="22"/>
          <w:szCs w:val="22"/>
        </w:rPr>
        <w:t xml:space="preserve">En juillet 2019, sept ans après sa création, le moteur de recherche annoncé comme « souverain » utilisait Bing dans plus de 75 % des cas.</w:t>
      </w:r>
    </w:p>
    <w:p>
      <w:pPr>
        <w:spacing w:after="120"/>
        <w:jc w:val="both"/>
      </w:pPr>
      <w:r>
        <w:rPr>
          <w:rFonts w:ascii="Arial" w:cs="Arial" w:eastAsia="Arial" w:hAnsi="Arial"/>
          <w:sz w:val="22"/>
          <w:szCs w:val="22"/>
        </w:rPr>
        <w:t xml:space="preserve">Au 25 septembre 2019, après un second audit, la dépendance à Bing est mesurée à </w:t>
      </w:r>
      <w:r>
        <w:rPr>
          <w:rFonts w:ascii="Arial" w:cs="Arial" w:eastAsia="Arial" w:hAnsi="Arial"/>
          <w:b/>
          <w:bCs/>
          <w:sz w:val="22"/>
          <w:szCs w:val="22"/>
        </w:rPr>
        <w:t xml:space="preserve">64 %</w:t>
      </w:r>
      <w:r>
        <w:rPr>
          <w:rFonts w:ascii="Arial" w:cs="Arial" w:eastAsia="Arial" w:hAnsi="Arial"/>
          <w:sz w:val="22"/>
          <w:szCs w:val="22"/>
        </w:rPr>
        <w:t xml:space="preserve"> des résultats.</w:t>
      </w:r>
      <w:r>
        <w:rPr>
          <w:rStyle w:val="FootnoteReference"/>
        </w:rPr>
        <w:footnoteReference w:id="3"/>
      </w:r>
      <w:r>
        <w:rPr>
          <w:rFonts w:ascii="Arial" w:cs="Arial" w:eastAsia="Arial" w:hAnsi="Arial"/>
          <w:sz w:val="22"/>
          <w:szCs w:val="22"/>
        </w:rPr>
        <w:t xml:space="preserve"> Seuls 36 % des résultats provenaient de l’index propre de Qwant. Plus grave encore, les auditeurs notent des </w:t>
      </w:r>
      <w:r>
        <w:rPr>
          <w:rFonts w:ascii="Arial" w:cs="Arial" w:eastAsia="Arial" w:hAnsi="Arial"/>
          <w:i/>
          <w:iCs/>
          <w:sz w:val="22"/>
          <w:szCs w:val="22"/>
        </w:rPr>
        <w:t xml:space="preserve">« inconsistances menant à penser à une probable situation dans laquelle les résultats de recherche Qwant seraient composés quasi exclusivement de résultats Bing pendant plusieurs mois »</w:t>
      </w:r>
      <w:r>
        <w:rPr>
          <w:rFonts w:ascii="Arial" w:cs="Arial" w:eastAsia="Arial" w:hAnsi="Arial"/>
          <w:sz w:val="22"/>
          <w:szCs w:val="22"/>
        </w:rPr>
        <w:t xml:space="preserve">.</w:t>
      </w:r>
      <w:r>
        <w:rPr>
          <w:rStyle w:val="FootnoteReference"/>
        </w:rPr>
        <w:footnoteReference w:id="7"/>
      </w:r>
    </w:p>
    <w:p>
      <w:pPr>
        <w:spacing w:after="120"/>
        <w:jc w:val="both"/>
      </w:pPr>
      <w:r>
        <w:rPr>
          <w:rFonts w:ascii="Arial" w:cs="Arial" w:eastAsia="Arial" w:hAnsi="Arial"/>
          <w:sz w:val="22"/>
          <w:szCs w:val="22"/>
        </w:rPr>
        <w:t xml:space="preserve">La DINUM qualifie Qwant, six ans après son lancement, de simple « prototype ».</w:t>
      </w:r>
    </w:p>
    <w:p>
      <w:pPr>
        <w:pStyle w:val="Heading2"/>
        <w:spacing w:after="120" w:before="280"/>
      </w:pPr>
      <w:r>
        <w:rPr>
          <w:rFonts w:ascii="Arial" w:cs="Arial" w:eastAsia="Arial" w:hAnsi="Arial"/>
          <w:b/>
          <w:bCs/>
          <w:color w:val="2E5984"/>
          <w:sz w:val="26"/>
          <w:szCs w:val="26"/>
        </w:rPr>
        <w:t xml:space="preserve">3.2 Le refus de BPI France</w:t>
      </w:r>
    </w:p>
    <w:p>
      <w:pPr>
        <w:spacing w:after="120"/>
        <w:jc w:val="both"/>
      </w:pPr>
      <w:r>
        <w:rPr>
          <w:rFonts w:ascii="Arial" w:cs="Arial" w:eastAsia="Arial" w:hAnsi="Arial"/>
          <w:sz w:val="22"/>
          <w:szCs w:val="22"/>
        </w:rPr>
        <w:t xml:space="preserve">En mars 2017, lors d’une levée de fonds avec la Caisse des Dépôts, </w:t>
      </w:r>
      <w:r>
        <w:rPr>
          <w:rFonts w:ascii="Arial" w:cs="Arial" w:eastAsia="Arial" w:hAnsi="Arial"/>
          <w:b/>
          <w:bCs/>
          <w:sz w:val="22"/>
          <w:szCs w:val="22"/>
        </w:rPr>
        <w:t xml:space="preserve">BPI France refuse de participer au financement, précisément en raison de la forte dépendance à l’API Bing</w:t>
      </w:r>
      <w:r>
        <w:rPr>
          <w:rFonts w:ascii="Arial" w:cs="Arial" w:eastAsia="Arial" w:hAnsi="Arial"/>
          <w:sz w:val="22"/>
          <w:szCs w:val="22"/>
        </w:rPr>
        <w:t xml:space="preserve">.</w:t>
      </w:r>
      <w:r>
        <w:rPr>
          <w:rStyle w:val="FootnoteReference"/>
        </w:rPr>
        <w:footnoteReference w:id="5"/>
      </w:r>
      <w:r>
        <w:rPr>
          <w:rFonts w:ascii="Arial" w:cs="Arial" w:eastAsia="Arial" w:hAnsi="Arial"/>
          <w:sz w:val="22"/>
          <w:szCs w:val="22"/>
        </w:rPr>
        <w:t xml:space="preserve"> Ce refus, survenu six mois après la déclaration « nous ne sommes pas un proxy », démontre que les investisseurs publics disposaient déjà d’informations contredisant le discours officiel.</w:t>
      </w:r>
    </w:p>
    <w:p>
      <w:pPr>
        <w:spacing w:after="120"/>
        <w:jc w:val="both"/>
      </w:pPr>
      <w:r>
        <w:rPr>
          <w:rFonts w:ascii="Arial" w:cs="Arial" w:eastAsia="Arial" w:hAnsi="Arial"/>
          <w:sz w:val="22"/>
          <w:szCs w:val="22"/>
        </w:rPr>
        <w:t xml:space="preserve">BPI France cite également l’utilisation de serveurs Huawei comme facteur de préoccupation. La Caisse des Dépôts, elle, procède néanmoins à son investissement, malgré ces signaux d’alerte.</w:t>
      </w:r>
    </w:p>
    <w:p>
      <w:pPr>
        <w:pStyle w:val="Heading2"/>
        <w:spacing w:after="120" w:before="280"/>
      </w:pPr>
      <w:r>
        <w:rPr>
          <w:rFonts w:ascii="Arial" w:cs="Arial" w:eastAsia="Arial" w:hAnsi="Arial"/>
          <w:b/>
          <w:bCs/>
          <w:color w:val="2E5984"/>
          <w:sz w:val="26"/>
          <w:szCs w:val="26"/>
        </w:rPr>
        <w:t xml:space="preserve">3.3 La transmission de données à Microsoft</w:t>
      </w:r>
    </w:p>
    <w:p>
      <w:pPr>
        <w:spacing w:after="120"/>
        <w:jc w:val="both"/>
      </w:pPr>
      <w:r>
        <w:rPr>
          <w:rFonts w:ascii="Arial" w:cs="Arial" w:eastAsia="Arial" w:hAnsi="Arial"/>
          <w:sz w:val="22"/>
          <w:szCs w:val="22"/>
        </w:rPr>
        <w:t xml:space="preserve">Un autre fait aggravant est révélé : depuis mi-2016 — soit au moment même de la déclaration dans La Voix du Nord — </w:t>
      </w:r>
      <w:r>
        <w:rPr>
          <w:rFonts w:ascii="Arial" w:cs="Arial" w:eastAsia="Arial" w:hAnsi="Arial"/>
          <w:b/>
          <w:bCs/>
          <w:sz w:val="22"/>
          <w:szCs w:val="22"/>
        </w:rPr>
        <w:t xml:space="preserve">Qwant transmettait à Microsoft Bing Ads l’IP/24 de l’utilisateur, son User-Agent et ses mots-clés de recherche</w:t>
      </w:r>
      <w:r>
        <w:rPr>
          <w:rFonts w:ascii="Arial" w:cs="Arial" w:eastAsia="Arial" w:hAnsi="Arial"/>
          <w:sz w:val="22"/>
          <w:szCs w:val="22"/>
        </w:rPr>
        <w:t xml:space="preserve">, sans consentement éclairé.</w:t>
      </w:r>
      <w:r>
        <w:rPr>
          <w:rStyle w:val="FootnoteReference"/>
        </w:rPr>
        <w:footnoteReference w:id="11"/>
      </w:r>
      <w:r>
        <w:rPr>
          <w:rFonts w:ascii="Arial" w:cs="Arial" w:eastAsia="Arial" w:hAnsi="Arial"/>
          <w:sz w:val="22"/>
          <w:szCs w:val="22"/>
        </w:rPr>
        <w:t xml:space="preserve"> Ces données n’étaient pas anonymisées mais simplement pseudonymisées. Qwant n’a reconnu cette pratique publiquement qu’en 2021.</w:t>
      </w:r>
    </w:p>
    <w:p>
      <w:pPr>
        <w:spacing w:after="120"/>
        <w:jc w:val="both"/>
      </w:pPr>
      <w:r>
        <w:rPr>
          <w:rFonts w:ascii="Arial" w:cs="Arial" w:eastAsia="Arial" w:hAnsi="Arial"/>
          <w:sz w:val="22"/>
          <w:szCs w:val="22"/>
        </w:rPr>
        <w:t xml:space="preserve">Cela signifie que l’affirmation « nous ne sommes pas un proxy » était doublement mensongère : non seulement Qwant utilisait les résultats de Bing, mais il transmettait également les données personnelles des utilisateurs à Microsoft, trahissant aussi la promesse de protection de la vie privée.</w:t>
      </w:r>
    </w:p>
    <w:p>
      <w:r>
        <w:br w:type="page"/>
      </w:r>
    </w:p>
    <w:p>
      <w:pPr>
        <w:pStyle w:val="Heading1"/>
        <w:spacing w:after="160" w:before="360"/>
      </w:pPr>
      <w:r>
        <w:rPr>
          <w:rFonts w:ascii="Arial" w:cs="Arial" w:eastAsia="Arial" w:hAnsi="Arial"/>
          <w:b/>
          <w:bCs/>
          <w:color w:val="1B3A5C"/>
          <w:sz w:val="30"/>
          <w:szCs w:val="30"/>
        </w:rPr>
        <w:t xml:space="preserve">4. Chronologie comparée : discours officiel vs. réalité</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1600"/>
        <w:gridCol w:w="5906"/>
        <w:gridCol w:w="2000"/>
      </w:tblGrid>
      <w:tr>
        <w:tc>
          <w:tcPr>
            <w:tcW w:type="dxa" w:w="16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r>
              <w:rPr>
                <w:rFonts w:ascii="Arial" w:cs="Arial" w:eastAsia="Arial" w:hAnsi="Arial"/>
                <w:b/>
                <w:bCs/>
                <w:color w:val="FFFFFF"/>
                <w:sz w:val="18"/>
                <w:szCs w:val="18"/>
              </w:rPr>
              <w:t xml:space="preserve">DATE</w:t>
            </w:r>
          </w:p>
        </w:tc>
        <w:tc>
          <w:tcPr>
            <w:tcW w:type="dxa" w:w="5906"/>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r>
              <w:rPr>
                <w:rFonts w:ascii="Arial" w:cs="Arial" w:eastAsia="Arial" w:hAnsi="Arial"/>
                <w:b/>
                <w:bCs/>
                <w:color w:val="FFFFFF"/>
                <w:sz w:val="18"/>
                <w:szCs w:val="18"/>
              </w:rPr>
              <w:t xml:space="preserve">ÉVÉNEMENT</w:t>
            </w:r>
          </w:p>
        </w:tc>
        <w:tc>
          <w:tcPr>
            <w:tcW w:type="dxa" w:w="2000"/>
            <w:tcBorders>
              <w:top w:val="single" w:color="CCCCCC" w:sz="1"/>
              <w:left w:val="single" w:color="CCCCCC" w:sz="1"/>
              <w:bottom w:val="single" w:color="CCCCCC" w:sz="1"/>
              <w:right w:val="single" w:color="CCCCCC" w:sz="1"/>
            </w:tcBorders>
            <w:shd w:fill="1B3A5C"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QUALIFICATION</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Fév. 2013</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Lancement de Qwant. Un blogueur découvre la dépendance à Bing. Next INpact enquête.</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tcPr>
          <w:p>
            <w:pPr>
              <w:jc w:val="center"/>
            </w:pPr>
            <w:r>
              <w:rPr>
                <w:rFonts w:ascii="Arial" w:cs="Arial" w:eastAsia="Arial" w:hAnsi="Arial"/>
                <w:b/>
                <w:bCs/>
                <w:color w:val="27AE60"/>
                <w:sz w:val="18"/>
                <w:szCs w:val="18"/>
              </w:rPr>
              <w:t xml:space="preserve">FACTUEL</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2013–2015</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Forums SEO démontrent 99% de résultats Bing. Tests d’index propre négatifs.</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tcPr>
          <w:p>
            <w:pPr>
              <w:jc w:val="center"/>
            </w:pPr>
            <w:r>
              <w:rPr>
                <w:rFonts w:ascii="Arial" w:cs="Arial" w:eastAsia="Arial" w:hAnsi="Arial"/>
                <w:b/>
                <w:bCs/>
                <w:color w:val="27AE60"/>
                <w:sz w:val="18"/>
                <w:szCs w:val="18"/>
              </w:rPr>
              <w:t xml:space="preserve">FACTUEL</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Avr. 2015</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Nouvelle version lancée, toujours basée sur l’API Bing, sans l’afficher.</w:t>
            </w:r>
          </w:p>
        </w:tc>
        <w:tc>
          <w:tcPr>
            <w:tcW w:type="dxa" w:w="1800"/>
            <w:tcBorders>
              <w:top w:val="single" w:color="CCCCCC" w:sz="1"/>
              <w:left w:val="single" w:color="CCCCCC" w:sz="1"/>
              <w:bottom w:val="single" w:color="CCCCCC" w:sz="1"/>
              <w:right w:val="single" w:color="CCCCCC" w:sz="1"/>
            </w:tcBorders>
            <w:shd w:fill="FEF3CD" w:val="clear"/>
            <w:tcMar>
              <w:top w:type="dxa" w:w="80"/>
              <w:left w:type="dxa" w:w="120"/>
              <w:bottom w:type="dxa" w:w="80"/>
              <w:right w:type="dxa" w:w="120"/>
            </w:tcMar>
          </w:tcPr>
          <w:p>
            <w:pPr>
              <w:jc w:val="center"/>
            </w:pPr>
            <w:r>
              <w:rPr>
                <w:rFonts w:ascii="Arial" w:cs="Arial" w:eastAsia="Arial" w:hAnsi="Arial"/>
                <w:b/>
                <w:bCs/>
                <w:color w:val="856404"/>
                <w:sz w:val="18"/>
                <w:szCs w:val="18"/>
              </w:rPr>
              <w:t xml:space="preserve">TROMPEUR</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Été 2016</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Modification du code pour réduire la dépendance Bing avant audit CDC.</w:t>
            </w:r>
          </w:p>
        </w:tc>
        <w:tc>
          <w:tcPr>
            <w:tcW w:type="dxa" w:w="1800"/>
            <w:tcBorders>
              <w:top w:val="single" w:color="CCCCCC" w:sz="1"/>
              <w:left w:val="single" w:color="CCCCCC" w:sz="1"/>
              <w:bottom w:val="single" w:color="CCCCCC" w:sz="1"/>
              <w:right w:val="single" w:color="CCCCCC" w:sz="1"/>
            </w:tcBorders>
            <w:shd w:fill="FEF3CD" w:val="clear"/>
            <w:tcMar>
              <w:top w:type="dxa" w:w="80"/>
              <w:left w:type="dxa" w:w="120"/>
              <w:bottom w:type="dxa" w:w="80"/>
              <w:right w:type="dxa" w:w="120"/>
            </w:tcMar>
          </w:tcPr>
          <w:p>
            <w:pPr>
              <w:jc w:val="center"/>
            </w:pPr>
            <w:r>
              <w:rPr>
                <w:rFonts w:ascii="Arial" w:cs="Arial" w:eastAsia="Arial" w:hAnsi="Arial"/>
                <w:b/>
                <w:bCs/>
                <w:color w:val="856404"/>
                <w:sz w:val="18"/>
                <w:szCs w:val="18"/>
              </w:rPr>
              <w:t xml:space="preserve">TROMPEUR</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Mi-2016</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Début de la transmission de données utilisateurs à Bing Ads (IP, UA, mots-clés).</w:t>
            </w:r>
          </w:p>
        </w:tc>
        <w:tc>
          <w:tcPr>
            <w:tcW w:type="dxa" w:w="1800"/>
            <w:tcBorders>
              <w:top w:val="single" w:color="CCCCCC" w:sz="1"/>
              <w:left w:val="single" w:color="CCCCCC" w:sz="1"/>
              <w:bottom w:val="single" w:color="CCCCCC" w:sz="1"/>
              <w:right w:val="single" w:color="CCCCCC" w:sz="1"/>
            </w:tcBorders>
            <w:shd w:fill="FEF3CD" w:val="clear"/>
            <w:tcMar>
              <w:top w:type="dxa" w:w="80"/>
              <w:left w:type="dxa" w:w="120"/>
              <w:bottom w:type="dxa" w:w="80"/>
              <w:right w:type="dxa" w:w="120"/>
            </w:tcMar>
          </w:tcPr>
          <w:p>
            <w:pPr>
              <w:jc w:val="center"/>
            </w:pPr>
            <w:r>
              <w:rPr>
                <w:rFonts w:ascii="Arial" w:cs="Arial" w:eastAsia="Arial" w:hAnsi="Arial"/>
                <w:b/>
                <w:bCs/>
                <w:color w:val="856404"/>
                <w:sz w:val="18"/>
                <w:szCs w:val="18"/>
              </w:rPr>
              <w:t xml:space="preserve">TROMPEUR</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Sept. 2016</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Léandri déclare « nous ne sommes pas des proxy » dans La Voix du Nord.</w:t>
            </w:r>
          </w:p>
        </w:tc>
        <w:tc>
          <w:tcPr>
            <w:tcW w:type="dxa" w:w="1800"/>
            <w:tcBorders>
              <w:top w:val="single" w:color="CCCCCC" w:sz="1"/>
              <w:left w:val="single" w:color="CCCCCC" w:sz="1"/>
              <w:bottom w:val="single" w:color="CCCCCC" w:sz="1"/>
              <w:right w:val="single" w:color="CCCCCC" w:sz="1"/>
            </w:tcBorders>
            <w:shd w:fill="FADBD8"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MENSONGER</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Mars 2017</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BPI France refuse de financer Qwant à cause de la dépendance Bing.</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tcPr>
          <w:p>
            <w:pPr>
              <w:jc w:val="center"/>
            </w:pPr>
            <w:r>
              <w:rPr>
                <w:rFonts w:ascii="Arial" w:cs="Arial" w:eastAsia="Arial" w:hAnsi="Arial"/>
                <w:b/>
                <w:bCs/>
                <w:color w:val="27AE60"/>
                <w:sz w:val="18"/>
                <w:szCs w:val="18"/>
              </w:rPr>
              <w:t xml:space="preserve">FACTUEL</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Mars 2017</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Caisse des Dépôts entre au capital malgré le refus de BPI.</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tcPr>
          <w:p>
            <w:pPr>
              <w:jc w:val="center"/>
            </w:pPr>
            <w:r>
              <w:rPr>
                <w:rFonts w:ascii="Arial" w:cs="Arial" w:eastAsia="Arial" w:hAnsi="Arial"/>
                <w:b/>
                <w:bCs/>
                <w:color w:val="27AE60"/>
                <w:sz w:val="18"/>
                <w:szCs w:val="18"/>
              </w:rPr>
              <w:t xml:space="preserve">FACTUEL</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Juin 2019</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Marc Longo condamné en première instance pour « dénigrement ».</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tcPr>
          <w:p>
            <w:pPr>
              <w:jc w:val="center"/>
            </w:pPr>
            <w:r>
              <w:rPr>
                <w:rFonts w:ascii="Arial" w:cs="Arial" w:eastAsia="Arial" w:hAnsi="Arial"/>
                <w:b/>
                <w:bCs/>
                <w:color w:val="27AE60"/>
                <w:sz w:val="18"/>
                <w:szCs w:val="18"/>
              </w:rPr>
              <w:t xml:space="preserve">FACTUEL</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Août 2019</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Audit DINUM : Qwant utilise Bing à plus de 75 %.</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tcPr>
          <w:p>
            <w:pPr>
              <w:jc w:val="center"/>
            </w:pPr>
            <w:r>
              <w:rPr>
                <w:rFonts w:ascii="Arial" w:cs="Arial" w:eastAsia="Arial" w:hAnsi="Arial"/>
                <w:b/>
                <w:bCs/>
                <w:color w:val="27AE60"/>
                <w:sz w:val="18"/>
                <w:szCs w:val="18"/>
              </w:rPr>
              <w:t xml:space="preserve">FACTUEL</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Sept. 2019</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Second audit : dépendance mesurée à 64 %. Qwant qualifié de « prototype ».</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tcPr>
          <w:p>
            <w:pPr>
              <w:jc w:val="center"/>
            </w:pPr>
            <w:r>
              <w:rPr>
                <w:rFonts w:ascii="Arial" w:cs="Arial" w:eastAsia="Arial" w:hAnsi="Arial"/>
                <w:b/>
                <w:bCs/>
                <w:color w:val="27AE60"/>
                <w:sz w:val="18"/>
                <w:szCs w:val="18"/>
              </w:rPr>
              <w:t xml:space="preserve">FACTUEL</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Janv. 2020</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En appel, Qwant échoue à faire condamner Longo. 5 000 € de frais à verser.</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tcPr>
          <w:p>
            <w:pPr>
              <w:jc w:val="center"/>
            </w:pPr>
            <w:r>
              <w:rPr>
                <w:rFonts w:ascii="Arial" w:cs="Arial" w:eastAsia="Arial" w:hAnsi="Arial"/>
                <w:b/>
                <w:bCs/>
                <w:color w:val="27AE60"/>
                <w:sz w:val="18"/>
                <w:szCs w:val="18"/>
              </w:rPr>
              <w:t xml:space="preserve">FACTUEL</w:t>
            </w:r>
          </w:p>
        </w:tc>
      </w:tr>
      <w:tr>
        <w:tc>
          <w:tcPr>
            <w:tcW w:type="dxa" w:w="1600"/>
            <w:tcBorders>
              <w:top w:val="single" w:color="CCCCCC" w:sz="1"/>
              <w:left w:val="single" w:color="CCCCCC" w:sz="1"/>
              <w:bottom w:val="single" w:color="CCCCCC" w:sz="1"/>
              <w:right w:val="single" w:color="CCCCCC" w:sz="1"/>
            </w:tcBorders>
            <w:shd w:fill="F8F9FA" w:val="clear"/>
            <w:tcMar>
              <w:top w:type="dxa" w:w="80"/>
              <w:left w:type="dxa" w:w="120"/>
              <w:bottom w:type="dxa" w:w="80"/>
              <w:right w:type="dxa" w:w="120"/>
            </w:tcMar>
          </w:tcPr>
          <w:p>
            <w:r>
              <w:rPr>
                <w:rFonts w:ascii="Arial" w:cs="Arial" w:eastAsia="Arial" w:hAnsi="Arial"/>
                <w:b/>
                <w:bCs/>
                <w:sz w:val="19"/>
                <w:szCs w:val="19"/>
              </w:rPr>
              <w:t xml:space="preserve">Mai 2020</w:t>
            </w:r>
          </w:p>
        </w:tc>
        <w:tc>
          <w:tcPr>
            <w:tcW w:type="dxa" w:w="598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9"/>
                <w:szCs w:val="19"/>
              </w:rPr>
              <w:t xml:space="preserve">Le Média publie « Révélations : Qwant, boulet d’État ».</w:t>
            </w:r>
          </w:p>
        </w:tc>
        <w:tc>
          <w:tcPr>
            <w:tcW w:type="dxa" w:w="1800"/>
            <w:tcBorders>
              <w:top w:val="single" w:color="CCCCCC" w:sz="1"/>
              <w:left w:val="single" w:color="CCCCCC" w:sz="1"/>
              <w:bottom w:val="single" w:color="CCCCCC" w:sz="1"/>
              <w:right w:val="single" w:color="CCCCCC" w:sz="1"/>
            </w:tcBorders>
            <w:shd w:fill="D5F5E3" w:val="clear"/>
            <w:tcMar>
              <w:top w:type="dxa" w:w="80"/>
              <w:left w:type="dxa" w:w="120"/>
              <w:bottom w:type="dxa" w:w="80"/>
              <w:right w:type="dxa" w:w="120"/>
            </w:tcMar>
          </w:tcPr>
          <w:p>
            <w:pPr>
              <w:jc w:val="center"/>
            </w:pPr>
            <w:r>
              <w:rPr>
                <w:rFonts w:ascii="Arial" w:cs="Arial" w:eastAsia="Arial" w:hAnsi="Arial"/>
                <w:b/>
                <w:bCs/>
                <w:color w:val="27AE60"/>
                <w:sz w:val="18"/>
                <w:szCs w:val="18"/>
              </w:rPr>
              <w:t xml:space="preserve">FACTUEL</w:t>
            </w:r>
          </w:p>
        </w:tc>
      </w:tr>
    </w:tbl>
    <w:p>
      <w:pPr>
        <w:spacing w:after="200"/>
      </w:pPr>
    </w:p>
    <w:p>
      <w:pPr>
        <w:pStyle w:val="Heading1"/>
        <w:spacing w:after="160" w:before="360"/>
      </w:pPr>
      <w:r>
        <w:rPr>
          <w:rFonts w:ascii="Arial" w:cs="Arial" w:eastAsia="Arial" w:hAnsi="Arial"/>
          <w:b/>
          <w:bCs/>
          <w:color w:val="1B3A5C"/>
          <w:sz w:val="30"/>
          <w:szCs w:val="30"/>
        </w:rPr>
        <w:t xml:space="preserve">5. Conséquences et qualifications</w:t>
      </w:r>
    </w:p>
    <w:p>
      <w:pPr>
        <w:pStyle w:val="Heading2"/>
        <w:spacing w:after="120" w:before="280"/>
      </w:pPr>
      <w:r>
        <w:rPr>
          <w:rFonts w:ascii="Arial" w:cs="Arial" w:eastAsia="Arial" w:hAnsi="Arial"/>
          <w:b/>
          <w:bCs/>
          <w:color w:val="2E5984"/>
          <w:sz w:val="26"/>
          <w:szCs w:val="26"/>
        </w:rPr>
        <w:t xml:space="preserve">5.1 Un mensonge aux conséquences financières</w:t>
      </w:r>
    </w:p>
    <w:p>
      <w:pPr>
        <w:spacing w:after="120"/>
        <w:jc w:val="both"/>
      </w:pPr>
      <w:r>
        <w:rPr>
          <w:rFonts w:ascii="Arial" w:cs="Arial" w:eastAsia="Arial" w:hAnsi="Arial"/>
          <w:sz w:val="22"/>
          <w:szCs w:val="22"/>
        </w:rPr>
        <w:t xml:space="preserve">La déclaration « nous ne sommes pas un proxy » n’est pas une approximation commerciale. C’est une </w:t>
      </w:r>
      <w:r>
        <w:rPr>
          <w:rFonts w:ascii="Arial" w:cs="Arial" w:eastAsia="Arial" w:hAnsi="Arial"/>
          <w:b/>
          <w:bCs/>
          <w:sz w:val="22"/>
          <w:szCs w:val="22"/>
        </w:rPr>
        <w:t xml:space="preserve">négation délibérée de la réalité technique du produit</w:t>
      </w:r>
      <w:r>
        <w:rPr>
          <w:rFonts w:ascii="Arial" w:cs="Arial" w:eastAsia="Arial" w:hAnsi="Arial"/>
          <w:sz w:val="22"/>
          <w:szCs w:val="22"/>
        </w:rPr>
        <w:t xml:space="preserve">, prononcée dans un contexte où des dizaines de millions d’euros de fonds publics étaient en jeu :</w:t>
      </w:r>
    </w:p>
    <w:p>
      <w:pPr>
        <w:pStyle w:val="ListParagraph"/>
        <w:numPr>
          <w:ilvl w:val="0"/>
          <w:numId w:val="2"/>
        </w:numPr>
        <w:spacing w:after="80"/>
      </w:pPr>
      <w:r>
        <w:rPr>
          <w:rFonts w:ascii="Arial" w:cs="Arial" w:eastAsia="Arial" w:hAnsi="Arial"/>
          <w:sz w:val="22"/>
          <w:szCs w:val="22"/>
        </w:rPr>
        <w:t xml:space="preserve">Prêt BEI de 25 millions d’euros</w:t>
      </w:r>
    </w:p>
    <w:p>
      <w:pPr>
        <w:pStyle w:val="ListParagraph"/>
        <w:numPr>
          <w:ilvl w:val="0"/>
          <w:numId w:val="2"/>
        </w:numPr>
        <w:spacing w:after="80"/>
      </w:pPr>
      <w:r>
        <w:rPr>
          <w:rFonts w:ascii="Arial" w:cs="Arial" w:eastAsia="Arial" w:hAnsi="Arial"/>
          <w:sz w:val="22"/>
          <w:szCs w:val="22"/>
        </w:rPr>
        <w:t xml:space="preserve">Investissement de la Caisse des Dépôts (18,5 millions d’euros)</w:t>
      </w:r>
    </w:p>
    <w:p>
      <w:pPr>
        <w:pStyle w:val="ListParagraph"/>
        <w:numPr>
          <w:ilvl w:val="0"/>
          <w:numId w:val="2"/>
        </w:numPr>
        <w:spacing w:after="80"/>
      </w:pPr>
      <w:r>
        <w:rPr>
          <w:rFonts w:ascii="Arial" w:cs="Arial" w:eastAsia="Arial" w:hAnsi="Arial"/>
          <w:sz w:val="22"/>
          <w:szCs w:val="22"/>
        </w:rPr>
        <w:t xml:space="preserve">Subventions multiples (plus de 20 millions d’euros cumulés selon Le Média</w:t>
      </w:r>
      <w:r>
        <w:rPr>
          <w:rStyle w:val="FootnoteReference"/>
        </w:rPr>
        <w:footnoteReference w:id="8"/>
      </w:r>
      <w:r>
        <w:rPr>
          <w:rFonts w:ascii="Arial" w:cs="Arial" w:eastAsia="Arial" w:hAnsi="Arial"/>
          <w:sz w:val="22"/>
          <w:szCs w:val="22"/>
        </w:rPr>
        <w:t xml:space="preserve">)</w:t>
      </w:r>
    </w:p>
    <w:p>
      <w:pPr>
        <w:pStyle w:val="ListParagraph"/>
        <w:numPr>
          <w:ilvl w:val="0"/>
          <w:numId w:val="2"/>
        </w:numPr>
        <w:spacing w:after="80"/>
      </w:pPr>
      <w:r>
        <w:rPr>
          <w:rFonts w:ascii="Arial" w:cs="Arial" w:eastAsia="Arial" w:hAnsi="Arial"/>
          <w:sz w:val="22"/>
          <w:szCs w:val="22"/>
        </w:rPr>
        <w:t xml:space="preserve">Imposition comme moteur par défaut dans les administrations publiques</w:t>
      </w:r>
    </w:p>
    <w:p>
      <w:pPr>
        <w:spacing w:after="120"/>
        <w:jc w:val="both"/>
      </w:pPr>
      <w:r>
        <w:rPr>
          <w:rFonts w:ascii="Arial" w:cs="Arial" w:eastAsia="Arial" w:hAnsi="Arial"/>
          <w:sz w:val="22"/>
          <w:szCs w:val="22"/>
        </w:rPr>
        <w:t xml:space="preserve">Le discours d’indépendance technologique était le fondement même de la justification de ces financements. Sans la prétention d’être un « vrai » moteur de recherche souverain, Qwant n’aurait eu aucune raison de recevoir des fonds publics plutôt que, par exemple, une simple licence d’utilisation de Bing.</w:t>
      </w:r>
    </w:p>
    <w:p>
      <w:pPr>
        <w:pStyle w:val="Heading2"/>
        <w:spacing w:after="120" w:before="280"/>
      </w:pPr>
      <w:r>
        <w:rPr>
          <w:rFonts w:ascii="Arial" w:cs="Arial" w:eastAsia="Arial" w:hAnsi="Arial"/>
          <w:b/>
          <w:bCs/>
          <w:color w:val="2E5984"/>
          <w:sz w:val="26"/>
          <w:szCs w:val="26"/>
        </w:rPr>
        <w:t xml:space="preserve">5.2 La tentative de faire taire les critiques</w:t>
      </w:r>
    </w:p>
    <w:p>
      <w:pPr>
        <w:spacing w:after="120"/>
        <w:jc w:val="both"/>
      </w:pPr>
      <w:r>
        <w:rPr>
          <w:rFonts w:ascii="Arial" w:cs="Arial" w:eastAsia="Arial" w:hAnsi="Arial"/>
          <w:sz w:val="22"/>
          <w:szCs w:val="22"/>
        </w:rPr>
        <w:t xml:space="preserve">Parallèlement au discours public, Qwant a tenté de réduire au silence ceux qui dénonçaient la réalité. En mai 2019, Qwant assigne Marc Longo devant le tribunal de commerce de Paris pour « dénigrement ». Longo est condamné en première instance le 14 juin 2019. Mais en appel, le 8 janvier 2020, </w:t>
      </w:r>
      <w:r>
        <w:rPr>
          <w:rFonts w:ascii="Arial" w:cs="Arial" w:eastAsia="Arial" w:hAnsi="Arial"/>
          <w:b/>
          <w:bCs/>
          <w:sz w:val="22"/>
          <w:szCs w:val="22"/>
        </w:rPr>
        <w:t xml:space="preserve">la Cour d’appel de Paris infirme le jugement, déclare les demandes de Qwant irrecevables, et condamne Qwant à verser 5 000 euros à Longo</w:t>
      </w:r>
      <w:r>
        <w:rPr>
          <w:rFonts w:ascii="Arial" w:cs="Arial" w:eastAsia="Arial" w:hAnsi="Arial"/>
          <w:sz w:val="22"/>
          <w:szCs w:val="22"/>
        </w:rPr>
        <w:t xml:space="preserve">.</w:t>
      </w:r>
      <w:r>
        <w:rPr>
          <w:rStyle w:val="FootnoteReference"/>
        </w:rPr>
        <w:footnoteReference w:id="6"/>
      </w:r>
    </w:p>
    <w:p>
      <w:pPr>
        <w:spacing w:after="120"/>
        <w:jc w:val="both"/>
      </w:pPr>
      <w:r>
        <w:rPr>
          <w:rFonts w:ascii="Arial" w:cs="Arial" w:eastAsia="Arial" w:hAnsi="Arial"/>
          <w:sz w:val="22"/>
          <w:szCs w:val="22"/>
        </w:rPr>
        <w:t xml:space="preserve">La stratégie de Qwant consistait donc à combiner dénégation publique et poursuites judiciaires contre ceux qui disaient la vérité.</w:t>
      </w:r>
    </w:p>
    <w:p>
      <w:pPr>
        <w:pStyle w:val="Heading2"/>
        <w:spacing w:after="120" w:before="280"/>
      </w:pPr>
      <w:r>
        <w:rPr>
          <w:rFonts w:ascii="Arial" w:cs="Arial" w:eastAsia="Arial" w:hAnsi="Arial"/>
          <w:b/>
          <w:bCs/>
          <w:color w:val="2E5984"/>
          <w:sz w:val="26"/>
          <w:szCs w:val="26"/>
        </w:rPr>
        <w:t xml:space="preserve">5.3 Qualification juridique potentielle</w:t>
      </w:r>
    </w:p>
    <w:p>
      <w:pPr>
        <w:spacing w:after="120"/>
        <w:jc w:val="both"/>
      </w:pPr>
      <w:r>
        <w:rPr>
          <w:rFonts w:ascii="Arial" w:cs="Arial" w:eastAsia="Arial" w:hAnsi="Arial"/>
          <w:sz w:val="22"/>
          <w:szCs w:val="22"/>
        </w:rPr>
        <w:t xml:space="preserve">La déclaration mensongère « nous ne sommes pas un proxy », prononcée dans un contexte de recherche active de financements publics, pourrait relever de plusieurs qualifications :</w:t>
      </w:r>
    </w:p>
    <w:p>
      <w:pPr>
        <w:pStyle w:val="ListParagraph"/>
        <w:numPr>
          <w:ilvl w:val="0"/>
          <w:numId w:val="2"/>
        </w:numPr>
        <w:spacing w:after="80"/>
      </w:pPr>
      <w:r>
        <w:rPr>
          <w:rFonts w:ascii="Arial" w:cs="Arial" w:eastAsia="Arial" w:hAnsi="Arial"/>
          <w:b/>
          <w:bCs/>
          <w:sz w:val="22"/>
          <w:szCs w:val="22"/>
        </w:rPr>
        <w:t xml:space="preserve">Pratique commerciale trompeuse </w:t>
      </w:r>
      <w:r>
        <w:rPr>
          <w:rFonts w:ascii="Arial" w:cs="Arial" w:eastAsia="Arial" w:hAnsi="Arial"/>
          <w:sz w:val="22"/>
          <w:szCs w:val="22"/>
        </w:rPr>
        <w:t xml:space="preserve">(art. L121-2 Code de la consommation) : allégation de nature à induire en erreur sur les caractéristiques essentielles du produit.</w:t>
      </w:r>
    </w:p>
    <w:p>
      <w:pPr>
        <w:pStyle w:val="ListParagraph"/>
        <w:numPr>
          <w:ilvl w:val="0"/>
          <w:numId w:val="2"/>
        </w:numPr>
        <w:spacing w:after="80"/>
      </w:pPr>
      <w:r>
        <w:rPr>
          <w:rFonts w:ascii="Arial" w:cs="Arial" w:eastAsia="Arial" w:hAnsi="Arial"/>
          <w:b/>
          <w:bCs/>
          <w:sz w:val="22"/>
          <w:szCs w:val="22"/>
        </w:rPr>
        <w:t xml:space="preserve">Tromperie envers les investisseurs publics : </w:t>
      </w:r>
      <w:r>
        <w:rPr>
          <w:rFonts w:ascii="Arial" w:cs="Arial" w:eastAsia="Arial" w:hAnsi="Arial"/>
          <w:sz w:val="22"/>
          <w:szCs w:val="22"/>
        </w:rPr>
        <w:t xml:space="preserve">présentation déformée de la réalité technique pour obtenir des financements.</w:t>
      </w:r>
    </w:p>
    <w:p>
      <w:pPr>
        <w:pStyle w:val="ListParagraph"/>
        <w:numPr>
          <w:ilvl w:val="0"/>
          <w:numId w:val="2"/>
        </w:numPr>
        <w:spacing w:after="80"/>
      </w:pPr>
      <w:r>
        <w:rPr>
          <w:rFonts w:ascii="Arial" w:cs="Arial" w:eastAsia="Arial" w:hAnsi="Arial"/>
          <w:b/>
          <w:bCs/>
          <w:sz w:val="22"/>
          <w:szCs w:val="22"/>
        </w:rPr>
        <w:t xml:space="preserve">Abus de confiance : </w:t>
      </w:r>
      <w:r>
        <w:rPr>
          <w:rFonts w:ascii="Arial" w:cs="Arial" w:eastAsia="Arial" w:hAnsi="Arial"/>
          <w:sz w:val="22"/>
          <w:szCs w:val="22"/>
        </w:rPr>
        <w:t xml:space="preserve">utilisation de fonds destinés au développement d’une technologie propre alors que le produit restait un habillage Bing.</w:t>
      </w:r>
    </w:p>
    <w:p>
      <w:r>
        <w:br w:type="page"/>
      </w:r>
    </w:p>
    <w:p>
      <w:pPr>
        <w:pStyle w:val="Heading1"/>
        <w:spacing w:after="160" w:before="360"/>
      </w:pPr>
      <w:r>
        <w:rPr>
          <w:rFonts w:ascii="Arial" w:cs="Arial" w:eastAsia="Arial" w:hAnsi="Arial"/>
          <w:b/>
          <w:bCs/>
          <w:color w:val="1B3A5C"/>
          <w:sz w:val="30"/>
          <w:szCs w:val="30"/>
        </w:rPr>
        <w:t xml:space="preserve">6. Conclusion</w:t>
      </w:r>
    </w:p>
    <w:p>
      <w:pPr>
        <w:spacing w:after="120"/>
        <w:jc w:val="both"/>
      </w:pPr>
      <w:r>
        <w:rPr>
          <w:rFonts w:ascii="Arial" w:cs="Arial" w:eastAsia="Arial" w:hAnsi="Arial"/>
          <w:sz w:val="22"/>
          <w:szCs w:val="22"/>
        </w:rPr>
        <w:t xml:space="preserve">Éric Léandri dit « nous ne sommes pas un proxy » en septembre 2016 parce que tout le monde disait qu’il en était un. Cette phrase est une réponse défensive à une accusation techniquement fondée, accumulée depuis trois ans par la communauté technique, les journalistes spécialisés et certains concurrents.</w:t>
      </w:r>
    </w:p>
    <w:p>
      <w:pPr>
        <w:spacing w:after="120"/>
        <w:jc w:val="both"/>
      </w:pPr>
      <w:r>
        <w:rPr>
          <w:rFonts w:ascii="Arial" w:cs="Arial" w:eastAsia="Arial" w:hAnsi="Arial"/>
          <w:sz w:val="22"/>
          <w:szCs w:val="22"/>
        </w:rPr>
        <w:t xml:space="preserve">La dénégation intervient au pire moment possible : alors que le code vient d’être modifié pour masquer la dépendance à Bing avant un audit de la Caisse des Dépôts, et alors que Qwant commence simultanément à transmettre les données personnelles de ses utilisateurs à Microsoft Bing Ads.</w:t>
      </w:r>
    </w:p>
    <w:p>
      <w:pPr>
        <w:spacing w:after="120"/>
        <w:jc w:val="both"/>
      </w:pPr>
      <w:r>
        <w:rPr>
          <w:rFonts w:ascii="Arial" w:cs="Arial" w:eastAsia="Arial" w:hAnsi="Arial"/>
          <w:sz w:val="22"/>
          <w:szCs w:val="22"/>
        </w:rPr>
        <w:t xml:space="preserve">Les audits ultérieurs trancheront sans ambiguïté : </w:t>
      </w:r>
      <w:r>
        <w:rPr>
          <w:rFonts w:ascii="Arial" w:cs="Arial" w:eastAsia="Arial" w:hAnsi="Arial"/>
          <w:b/>
          <w:bCs/>
          <w:sz w:val="22"/>
          <w:szCs w:val="22"/>
        </w:rPr>
        <w:t xml:space="preserve">en 2019, entre 64 % et 75 % des résultats de Qwant proviennent de Bing</w:t>
      </w:r>
      <w:r>
        <w:rPr>
          <w:rFonts w:ascii="Arial" w:cs="Arial" w:eastAsia="Arial" w:hAnsi="Arial"/>
          <w:sz w:val="22"/>
          <w:szCs w:val="22"/>
        </w:rPr>
        <w:t xml:space="preserve">. La DINUM qualifie le moteur de « prototype », six ans après son lancement. Marc Longo, poursuivi pour avoir dit la vérité, est blanchi en appel.</w:t>
      </w:r>
    </w:p>
    <w:p>
      <w:pPr>
        <w:spacing w:after="120"/>
        <w:jc w:val="both"/>
      </w:pPr>
      <w:r>
        <w:rPr>
          <w:rFonts w:ascii="Arial" w:cs="Arial" w:eastAsia="Arial" w:hAnsi="Arial"/>
          <w:sz w:val="22"/>
          <w:szCs w:val="22"/>
        </w:rPr>
        <w:t xml:space="preserve">Ce n’est pas un simple mensonge commercial. C’est une affirmation stratégique, formulée de manière calculée, destinée à maintenir la fiction d’une souveraineté technologique française qui justifiait des dizaines de millions d’euros d’argent public.</w:t>
      </w:r>
    </w:p>
    <w:p>
      <w:pPr>
        <w:spacing w:after="300"/>
      </w:pPr>
    </w:p>
    <w:p>
      <w:pPr>
        <w:pStyle w:val="Heading1"/>
        <w:spacing w:after="160" w:before="360"/>
      </w:pPr>
      <w:r>
        <w:rPr>
          <w:rFonts w:ascii="Arial" w:cs="Arial" w:eastAsia="Arial" w:hAnsi="Arial"/>
          <w:b/>
          <w:bCs/>
          <w:color w:val="1B3A5C"/>
          <w:sz w:val="30"/>
          <w:szCs w:val="30"/>
        </w:rPr>
        <w:t xml:space="preserve">7. Sources</w:t>
      </w:r>
    </w:p>
    <w:p>
      <w:pPr>
        <w:spacing w:after="40"/>
      </w:pPr>
    </w:p>
    <w:p>
      <w:pPr>
        <w:pStyle w:val="ListParagraph"/>
        <w:numPr>
          <w:ilvl w:val="0"/>
          <w:numId w:val="2"/>
        </w:numPr>
        <w:spacing w:after="60"/>
      </w:pPr>
      <w:hyperlink w:history="1" r:id="rIdpo-kze0duzw8ucl3j6wzp">
        <w:r>
          <w:rPr>
            <w:rStyle w:val="Hyperlink"/>
            <w:rFonts w:ascii="Arial" w:cs="Arial" w:eastAsia="Arial" w:hAnsi="Arial"/>
            <w:color w:val="2E75B6"/>
            <w:sz w:val="20"/>
            <w:szCs w:val="20"/>
            <w:u w:val="single"/>
          </w:rPr>
          <w:t xml:space="preserve">Next INpact — Qwant, un vrai faux moteur de recherche ? (2013)</w:t>
        </w:r>
      </w:hyperlink>
    </w:p>
    <w:p>
      <w:pPr>
        <w:pStyle w:val="ListParagraph"/>
        <w:numPr>
          <w:ilvl w:val="0"/>
          <w:numId w:val="2"/>
        </w:numPr>
        <w:spacing w:after="60"/>
      </w:pPr>
      <w:hyperlink w:history="1" r:id="rId3i2w-sl3lxly8fawjiaxb">
        <w:r>
          <w:rPr>
            <w:rStyle w:val="Hyperlink"/>
            <w:rFonts w:ascii="Arial" w:cs="Arial" w:eastAsia="Arial" w:hAnsi="Arial"/>
            <w:color w:val="2E75B6"/>
            <w:sz w:val="20"/>
            <w:szCs w:val="20"/>
            <w:u w:val="single"/>
          </w:rPr>
          <w:t xml:space="preserve">Next INpact — Les liens du moteur Qwant avec Microsoft Bing</w:t>
        </w:r>
      </w:hyperlink>
    </w:p>
    <w:p>
      <w:pPr>
        <w:pStyle w:val="ListParagraph"/>
        <w:numPr>
          <w:ilvl w:val="0"/>
          <w:numId w:val="2"/>
        </w:numPr>
        <w:spacing w:after="60"/>
      </w:pPr>
      <w:hyperlink w:history="1" r:id="rIdh7tq106tttfxpeyu28c2x">
        <w:r>
          <w:rPr>
            <w:rStyle w:val="Hyperlink"/>
            <w:rFonts w:ascii="Arial" w:cs="Arial" w:eastAsia="Arial" w:hAnsi="Arial"/>
            <w:color w:val="2E75B6"/>
            <w:sz w:val="20"/>
            <w:szCs w:val="20"/>
            <w:u w:val="single"/>
          </w:rPr>
          <w:t xml:space="preserve">Next INpact — Six ans après, Qwant n’était qu’un prototype selon la DINUM</w:t>
        </w:r>
      </w:hyperlink>
    </w:p>
    <w:p>
      <w:pPr>
        <w:pStyle w:val="ListParagraph"/>
        <w:numPr>
          <w:ilvl w:val="0"/>
          <w:numId w:val="2"/>
        </w:numPr>
        <w:spacing w:after="60"/>
      </w:pPr>
      <w:hyperlink w:history="1" r:id="rIdfxmahc6lrematwghd5slp">
        <w:r>
          <w:rPr>
            <w:rStyle w:val="Hyperlink"/>
            <w:rFonts w:ascii="Arial" w:cs="Arial" w:eastAsia="Arial" w:hAnsi="Arial"/>
            <w:color w:val="2E75B6"/>
            <w:sz w:val="20"/>
            <w:szCs w:val="20"/>
            <w:u w:val="single"/>
          </w:rPr>
          <w:t xml:space="preserve">Next INpact — En septembre 2019, résultats de Qwant à 64 % Bing</w:t>
        </w:r>
      </w:hyperlink>
    </w:p>
    <w:p>
      <w:pPr>
        <w:pStyle w:val="ListParagraph"/>
        <w:numPr>
          <w:ilvl w:val="0"/>
          <w:numId w:val="2"/>
        </w:numPr>
        <w:spacing w:after="60"/>
      </w:pPr>
      <w:hyperlink w:history="1" r:id="rIdmd0i_zw9ecriu2asofbbv">
        <w:r>
          <w:rPr>
            <w:rStyle w:val="Hyperlink"/>
            <w:rFonts w:ascii="Arial" w:cs="Arial" w:eastAsia="Arial" w:hAnsi="Arial"/>
            <w:color w:val="2E75B6"/>
            <w:sz w:val="20"/>
            <w:szCs w:val="20"/>
            <w:u w:val="single"/>
          </w:rPr>
          <w:t xml:space="preserve">Next INpact — En appel, Qwant échoue contre Annuaire Français</w:t>
        </w:r>
      </w:hyperlink>
    </w:p>
    <w:p>
      <w:pPr>
        <w:pStyle w:val="ListParagraph"/>
        <w:numPr>
          <w:ilvl w:val="0"/>
          <w:numId w:val="2"/>
        </w:numPr>
        <w:spacing w:after="60"/>
      </w:pPr>
      <w:hyperlink w:history="1" r:id="rIdysdchonn-fg2vyzfpfwdx">
        <w:r>
          <w:rPr>
            <w:rStyle w:val="Hyperlink"/>
            <w:rFonts w:ascii="Arial" w:cs="Arial" w:eastAsia="Arial" w:hAnsi="Arial"/>
            <w:color w:val="2E75B6"/>
            <w:sz w:val="20"/>
            <w:szCs w:val="20"/>
            <w:u w:val="single"/>
          </w:rPr>
          <w:t xml:space="preserve">Next INpact — Qwant fait condamner un concurrent pour dénigrement</w:t>
        </w:r>
      </w:hyperlink>
    </w:p>
    <w:p>
      <w:pPr>
        <w:pStyle w:val="ListParagraph"/>
        <w:numPr>
          <w:ilvl w:val="0"/>
          <w:numId w:val="2"/>
        </w:numPr>
        <w:spacing w:after="60"/>
      </w:pPr>
      <w:hyperlink w:history="1" r:id="rIdiy1hrla1xwrfju9hpxc6r">
        <w:r>
          <w:rPr>
            <w:rStyle w:val="Hyperlink"/>
            <w:rFonts w:ascii="Arial" w:cs="Arial" w:eastAsia="Arial" w:hAnsi="Arial"/>
            <w:color w:val="2E75B6"/>
            <w:sz w:val="20"/>
            <w:szCs w:val="20"/>
            <w:u w:val="single"/>
          </w:rPr>
          <w:t xml:space="preserve">Le Média — Révélations : Qwant, boulet d’État (2020)</w:t>
        </w:r>
      </w:hyperlink>
    </w:p>
    <w:p>
      <w:pPr>
        <w:pStyle w:val="ListParagraph"/>
        <w:numPr>
          <w:ilvl w:val="0"/>
          <w:numId w:val="2"/>
        </w:numPr>
        <w:spacing w:after="60"/>
      </w:pPr>
      <w:hyperlink w:history="1" r:id="rIdujsqqzw_7pcwgqv4_thut">
        <w:r>
          <w:rPr>
            <w:rStyle w:val="Hyperlink"/>
            <w:rFonts w:ascii="Arial" w:cs="Arial" w:eastAsia="Arial" w:hAnsi="Arial"/>
            <w:color w:val="2E75B6"/>
            <w:sz w:val="20"/>
            <w:szCs w:val="20"/>
            <w:u w:val="single"/>
          </w:rPr>
          <w:t xml:space="preserve">Developpez.com — Qwant, le faux espoir de la French Tech</w:t>
        </w:r>
      </w:hyperlink>
    </w:p>
    <w:p>
      <w:pPr>
        <w:pStyle w:val="ListParagraph"/>
        <w:numPr>
          <w:ilvl w:val="0"/>
          <w:numId w:val="2"/>
        </w:numPr>
        <w:spacing w:after="60"/>
      </w:pPr>
      <w:hyperlink w:history="1" r:id="rIda6usq8fxlpvw_swj35nps">
        <w:r>
          <w:rPr>
            <w:rStyle w:val="Hyperlink"/>
            <w:rFonts w:ascii="Arial" w:cs="Arial" w:eastAsia="Arial" w:hAnsi="Arial"/>
            <w:color w:val="2E75B6"/>
            <w:sz w:val="20"/>
            <w:szCs w:val="20"/>
            <w:u w:val="single"/>
          </w:rPr>
          <w:t xml:space="preserve">WebRankInfo — Forum : Qwant vrai ou faux moteur ?</w:t>
        </w:r>
      </w:hyperlink>
    </w:p>
    <w:p>
      <w:pPr>
        <w:pStyle w:val="ListParagraph"/>
        <w:numPr>
          <w:ilvl w:val="0"/>
          <w:numId w:val="2"/>
        </w:numPr>
        <w:spacing w:after="60"/>
      </w:pPr>
      <w:hyperlink w:history="1" r:id="rIddae8e4iti5hxjelkoebhc">
        <w:r>
          <w:rPr>
            <w:rStyle w:val="Hyperlink"/>
            <w:rFonts w:ascii="Arial" w:cs="Arial" w:eastAsia="Arial" w:hAnsi="Arial"/>
            <w:color w:val="2E75B6"/>
            <w:sz w:val="20"/>
            <w:szCs w:val="20"/>
            <w:u w:val="single"/>
          </w:rPr>
          <w:t xml:space="preserve">Marc Longo — Le petit méta-moteur sous Bing (LinkedIn)</w:t>
        </w:r>
      </w:hyperlink>
    </w:p>
    <w:p>
      <w:pPr>
        <w:pStyle w:val="ListParagraph"/>
        <w:numPr>
          <w:ilvl w:val="0"/>
          <w:numId w:val="2"/>
        </w:numPr>
        <w:spacing w:after="60"/>
      </w:pPr>
      <w:hyperlink w:history="1" r:id="rIdzeguwkwqx3vgxxsb5o4g2">
        <w:r>
          <w:rPr>
            <w:rStyle w:val="Hyperlink"/>
            <w:rFonts w:ascii="Arial" w:cs="Arial" w:eastAsia="Arial" w:hAnsi="Arial"/>
            <w:color w:val="2E75B6"/>
            <w:sz w:val="20"/>
            <w:szCs w:val="20"/>
            <w:u w:val="single"/>
          </w:rPr>
          <w:t xml:space="preserve">ACBM / Le Virus Informatique — Qwant et la vie privée</w:t>
        </w:r>
      </w:hyperlink>
    </w:p>
    <w:p>
      <w:pPr>
        <w:pStyle w:val="ListParagraph"/>
        <w:numPr>
          <w:ilvl w:val="0"/>
          <w:numId w:val="2"/>
        </w:numPr>
        <w:spacing w:after="60"/>
      </w:pPr>
      <w:hyperlink w:history="1" r:id="rIdjq6ibsefkkyzsrqi3v6z0">
        <w:r>
          <w:rPr>
            <w:rStyle w:val="Hyperlink"/>
            <w:rFonts w:ascii="Arial" w:cs="Arial" w:eastAsia="Arial" w:hAnsi="Arial"/>
            <w:color w:val="2E75B6"/>
            <w:sz w:val="20"/>
            <w:szCs w:val="20"/>
            <w:u w:val="single"/>
          </w:rPr>
          <w:t xml:space="preserve">Wikipedia — Article Qwant (historique et sources)</w:t>
        </w:r>
      </w:hyperlink>
    </w:p>
    <w:p>
      <w:pPr>
        <w:pStyle w:val="ListParagraph"/>
        <w:numPr>
          <w:ilvl w:val="0"/>
          <w:numId w:val="2"/>
        </w:numPr>
        <w:spacing w:after="60"/>
      </w:pPr>
      <w:hyperlink w:history="1" r:id="rIdy9qxp2ukxdusgba87sscj">
        <w:r>
          <w:rPr>
            <w:rStyle w:val="Hyperlink"/>
            <w:rFonts w:ascii="Arial" w:cs="Arial" w:eastAsia="Arial" w:hAnsi="Arial"/>
            <w:color w:val="2E75B6"/>
            <w:sz w:val="20"/>
            <w:szCs w:val="20"/>
            <w:u w:val="single"/>
          </w:rPr>
          <w:t xml:space="preserve">La Voix du Nord — Article analysé (12 septembre 2016)</w:t>
        </w:r>
      </w:hyperlink>
    </w:p>
    <w:p>
      <w:pPr>
        <w:spacing w:after="200"/>
      </w:pPr>
    </w:p>
    <w:p>
      <w:pPr>
        <w:spacing w:after="40"/>
        <w:jc w:val="right"/>
      </w:pPr>
      <w:r>
        <w:rPr>
          <w:rFonts w:ascii="Arial" w:cs="Arial" w:eastAsia="Arial" w:hAnsi="Arial"/>
          <w:i/>
          <w:iCs/>
          <w:color w:val="888888"/>
          <w:sz w:val="19"/>
          <w:szCs w:val="19"/>
        </w:rPr>
        <w:t xml:space="preserve">Document établi le 10 mars 2026</w:t>
      </w:r>
    </w:p>
    <w:p>
      <w:pPr>
        <w:jc w:val="right"/>
      </w:pPr>
      <w:r>
        <w:rPr>
          <w:rFonts w:ascii="Arial" w:cs="Arial" w:eastAsia="Arial" w:hAnsi="Arial"/>
          <w:i/>
          <w:iCs/>
          <w:color w:val="888888"/>
          <w:sz w:val="19"/>
          <w:szCs w:val="19"/>
        </w:rPr>
        <w:t xml:space="preserve">Dossier AttaQwant — Pièce d’analyse de presse</w:t>
      </w:r>
    </w:p>
    <w:sectPr>
      <w:headerReference w:type="default" r:id="rId7"/>
      <w:footerReference w:type="default" r:id="rId8"/>
      <w:pgSz w:w="11906" w:h="16838" w:orient="portrait"/>
      <w:pgMar w:top="1300" w:right="1200" w:bottom="13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Arial" w:cs="Arial" w:eastAsia="Arial" w:hAnsi="Arial"/>
        <w:color w:val="888888"/>
        <w:sz w:val="17"/>
        <w:szCs w:val="17"/>
      </w:rPr>
      <w:t xml:space="preserve">Page </w:t>
    </w:r>
    <w:r>
      <w:rPr>
        <w:rFonts w:ascii="Arial" w:cs="Arial" w:eastAsia="Arial" w:hAnsi="Arial"/>
        <w:color w:val="888888"/>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rFonts w:ascii="Arial" w:cs="Arial" w:eastAsia="Arial" w:hAnsi="Arial"/>
          <w:sz w:val="18"/>
          <w:szCs w:val="18"/>
        </w:rPr>
        <w:t xml:space="preserve">Next INpact, « Qwant, un vrai faux moteur de recherche ? Des accusations aux explications », février 2013.</w:t>
      </w:r>
    </w:p>
  </w:footnote>
  <w:footnote w:id="2">
    <w:p>
      <w:r>
        <w:rPr>
          <w:rStyle w:val="FootnoteReference"/>
        </w:rPr>
        <w:footnoteRef/>
      </w:r>
      <w:r>
        <w:rPr>
          <w:rFonts w:ascii="Arial" w:cs="Arial" w:eastAsia="Arial" w:hAnsi="Arial"/>
          <w:sz w:val="18"/>
          <w:szCs w:val="18"/>
        </w:rPr>
        <w:t xml:space="preserve">Wikipedia, article « Qwant », section « History » : « a code amendment to reduce the use of the Bing API took place a few days before the audit ».</w:t>
      </w:r>
    </w:p>
  </w:footnote>
  <w:footnote w:id="3">
    <w:p>
      <w:r>
        <w:rPr>
          <w:rStyle w:val="FootnoteReference"/>
        </w:rPr>
        <w:footnoteRef/>
      </w:r>
      <w:r>
        <w:rPr>
          <w:rFonts w:ascii="Arial" w:cs="Arial" w:eastAsia="Arial" w:hAnsi="Arial"/>
          <w:sz w:val="18"/>
          <w:szCs w:val="18"/>
        </w:rPr>
        <w:t xml:space="preserve">Next INpact, « En septembre 2019, les résultats de Qwant Search reposaient à 64 % sur Bing ».</w:t>
      </w:r>
    </w:p>
  </w:footnote>
  <w:footnote w:id="4">
    <w:p>
      <w:r>
        <w:rPr>
          <w:rStyle w:val="FootnoteReference"/>
        </w:rPr>
        <w:footnoteRef/>
      </w:r>
      <w:r>
        <w:rPr>
          <w:rFonts w:ascii="Arial" w:cs="Arial" w:eastAsia="Arial" w:hAnsi="Arial"/>
          <w:sz w:val="18"/>
          <w:szCs w:val="18"/>
        </w:rPr>
        <w:t xml:space="preserve">Next INpact, « Six ans après son lancement, Qwant n’était qu’un prototype selon la DINUM », 2019.</w:t>
      </w:r>
    </w:p>
  </w:footnote>
  <w:footnote w:id="5">
    <w:p>
      <w:r>
        <w:rPr>
          <w:rStyle w:val="FootnoteReference"/>
        </w:rPr>
        <w:footnoteRef/>
      </w:r>
      <w:r>
        <w:rPr>
          <w:rFonts w:ascii="Arial" w:cs="Arial" w:eastAsia="Arial" w:hAnsi="Arial"/>
          <w:sz w:val="18"/>
          <w:szCs w:val="18"/>
        </w:rPr>
        <w:t xml:space="preserve">Wikipedia, article « Qwant » : « after the refusal of funding by Bpifrance because of this strong dependence on Bing’s API ».</w:t>
      </w:r>
    </w:p>
  </w:footnote>
  <w:footnote w:id="6">
    <w:p>
      <w:r>
        <w:rPr>
          <w:rStyle w:val="FootnoteReference"/>
        </w:rPr>
        <w:footnoteRef/>
      </w:r>
      <w:r>
        <w:rPr>
          <w:rFonts w:ascii="Arial" w:cs="Arial" w:eastAsia="Arial" w:hAnsi="Arial"/>
          <w:sz w:val="18"/>
          <w:szCs w:val="18"/>
        </w:rPr>
        <w:t xml:space="preserve">Next INpact, « En appel, Qwant échoue à faire condamner Annuaire Français pour dénigrement », janvier 2020.</w:t>
      </w:r>
    </w:p>
  </w:footnote>
  <w:footnote w:id="7">
    <w:p>
      <w:r>
        <w:rPr>
          <w:rStyle w:val="FootnoteReference"/>
        </w:rPr>
        <w:footnoteRef/>
      </w:r>
      <w:r>
        <w:rPr>
          <w:rFonts w:ascii="Arial" w:cs="Arial" w:eastAsia="Arial" w:hAnsi="Arial"/>
          <w:sz w:val="18"/>
          <w:szCs w:val="18"/>
        </w:rPr>
        <w:t xml:space="preserve">Le Média, « Révélations : Qwant, boulet d’État », mai 2020.</w:t>
      </w:r>
    </w:p>
  </w:footnote>
  <w:footnote w:id="8">
    <w:p>
      <w:r>
        <w:rPr>
          <w:rStyle w:val="FootnoteReference"/>
        </w:rPr>
        <w:footnoteRef/>
      </w:r>
      <w:r>
        <w:rPr>
          <w:rFonts w:ascii="Arial" w:cs="Arial" w:eastAsia="Arial" w:hAnsi="Arial"/>
          <w:sz w:val="18"/>
          <w:szCs w:val="18"/>
        </w:rPr>
        <w:t xml:space="preserve">Developpez.com, « Qwant, le faux espoir de la French Tech ? Le moteur de recherche souverain, mais dépendant à plus de 60 % de Bing ».</w:t>
      </w:r>
    </w:p>
  </w:footnote>
  <w:footnote w:id="9">
    <w:p>
      <w:r>
        <w:rPr>
          <w:rStyle w:val="FootnoteReference"/>
        </w:rPr>
        <w:footnoteRef/>
      </w:r>
      <w:r>
        <w:rPr>
          <w:rFonts w:ascii="Arial" w:cs="Arial" w:eastAsia="Arial" w:hAnsi="Arial"/>
          <w:sz w:val="18"/>
          <w:szCs w:val="18"/>
        </w:rPr>
        <w:t xml:space="preserve">La Voix du Nord, « Qwant, le moteur de recherche français qui veut faire trembler Google », Sophie Levy, 12 septembre 2016.</w:t>
      </w:r>
    </w:p>
  </w:footnote>
  <w:footnote w:id="10">
    <w:p>
      <w:r>
        <w:rPr>
          <w:rStyle w:val="FootnoteReference"/>
        </w:rPr>
        <w:footnoteRef/>
      </w:r>
      <w:r>
        <w:rPr>
          <w:rFonts w:ascii="Arial" w:cs="Arial" w:eastAsia="Arial" w:hAnsi="Arial"/>
          <w:sz w:val="18"/>
          <w:szCs w:val="18"/>
        </w:rPr>
        <w:t xml:space="preserve">WebRankInfo, forum « Qwant vrai ou faux moteur ? », discussions 2013–2016.</w:t>
      </w:r>
    </w:p>
  </w:footnote>
  <w:footnote w:id="11">
    <w:p>
      <w:r>
        <w:rPr>
          <w:rStyle w:val="FootnoteReference"/>
        </w:rPr>
        <w:footnoteRef/>
      </w:r>
      <w:r>
        <w:rPr>
          <w:rFonts w:ascii="Arial" w:cs="Arial" w:eastAsia="Arial" w:hAnsi="Arial"/>
          <w:sz w:val="18"/>
          <w:szCs w:val="18"/>
        </w:rPr>
        <w:t xml:space="preserve">ACBM / Le Virus Informatique, « Enquête : le moteur Qwant offre-t-il la vie privée de ses utilisateurs à Microsoft ? ».</w:t>
      </w:r>
    </w:p>
  </w:footnote>
  <w:footnote w:id="12">
    <w:p>
      <w:r>
        <w:rPr>
          <w:rStyle w:val="FootnoteReference"/>
        </w:rPr>
        <w:footnoteRef/>
      </w:r>
      <w:r>
        <w:rPr>
          <w:rFonts w:ascii="Arial" w:cs="Arial" w:eastAsia="Arial" w:hAnsi="Arial"/>
          <w:sz w:val="18"/>
          <w:szCs w:val="18"/>
        </w:rPr>
        <w:t xml:space="preserve">Marc Longo, « Le petit méta-moteur sous Bing qui veut manger Google ! », LinkedIn.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2" w:space="4"/>
      </w:pBdr>
      <w:jc w:val="right"/>
    </w:pPr>
    <w:r>
      <w:rPr>
        <w:rFonts w:ascii="Arial" w:cs="Arial" w:eastAsia="Arial" w:hAnsi="Arial"/>
        <w:i/>
        <w:iCs/>
        <w:color w:val="888888"/>
        <w:sz w:val="17"/>
        <w:szCs w:val="17"/>
      </w:rPr>
      <w:t xml:space="preserve">Dossier Qwant — Analyse : « Nous ne sommes pas un proxy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B3A5C"/>
      <w:sz w:val="30"/>
      <w:szCs w:val="30"/>
    </w:rPr>
  </w:style>
  <w:style w:type="paragraph" w:styleId="Heading2">
    <w:name w:val="Heading 2"/>
    <w:basedOn w:val="Normal"/>
    <w:next w:val="Normal"/>
    <w:qFormat/>
    <w:pPr>
      <w:spacing w:after="120" w:before="280"/>
      <w:outlineLvl w:val="1"/>
    </w:pPr>
    <w:rPr>
      <w:rFonts w:ascii="Arial" w:cs="Arial" w:eastAsia="Arial" w:hAnsi="Arial"/>
      <w:b/>
      <w:bCs/>
      <w:color w:val="2E5984"/>
      <w:sz w:val="26"/>
      <w:szCs w:val="26"/>
    </w:rPr>
  </w:style>
  <w:style w:type="paragraph" w:styleId="Heading3">
    <w:name w:val="Heading 3"/>
    <w:basedOn w:val="Normal"/>
    <w:next w:val="Normal"/>
    <w:qFormat/>
    <w:pPr>
      <w:spacing w:after="100" w:before="220"/>
      <w:outlineLvl w:val="2"/>
    </w:pPr>
    <w:rPr>
      <w:rFonts w:ascii="Arial" w:cs="Arial" w:eastAsia="Arial" w:hAnsi="Arial"/>
      <w:b/>
      <w:bCs/>
      <w:color w:val="3A6B8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o-kze0duzw8ucl3j6wzp" Type="http://schemas.openxmlformats.org/officeDocument/2006/relationships/hyperlink" Target="https://www.nextinpact.com/news/77594-qwant-vrai-faux-moteur-francais-des-accusations-aux-explications.htm" TargetMode="External"/><Relationship Id="rId3i2w-sl3lxly8fawjiaxb" Type="http://schemas.openxmlformats.org/officeDocument/2006/relationships/hyperlink" Target="https://www.nextinpact.com/news/103652-les-liens-moteur-qwant-avec-microsoft-bing.htm" TargetMode="External"/><Relationship Id="rIdh7tq106tttfxpeyu28c2x" Type="http://schemas.openxmlformats.org/officeDocument/2006/relationships/hyperlink" Target="https://next.ink/6006/108986-six-ans-apres-son-lancement-qwant-netait-quun-prototype-selon-dinum/" TargetMode="External"/><Relationship Id="rIdfxmahc6lrematwghd5slp" Type="http://schemas.openxmlformats.org/officeDocument/2006/relationships/hyperlink" Target="https://next.ink/brief_article/en-septembre-2019-les-resultats-de-qwant-search-reposaient-a-64-sur-bing/" TargetMode="External"/><Relationship Id="rIdmd0i_zw9ecriu2asofbbv" Type="http://schemas.openxmlformats.org/officeDocument/2006/relationships/hyperlink" Target="https://next.ink/6330/108580-en-appel-qwant-echoue-a-faire-condamner-annuaire-francais-en-denigrement/" TargetMode="External"/><Relationship Id="rIdysdchonn-fg2vyzfpfwdx" Type="http://schemas.openxmlformats.org/officeDocument/2006/relationships/hyperlink" Target="https://next.ink/6695/108108-qwant-fait-condamner-concurrent-pour-denigrement/" TargetMode="External"/><Relationship Id="rIdiy1hrla1xwrfju9hpxc6r" Type="http://schemas.openxmlformats.org/officeDocument/2006/relationships/hyperlink" Target="https://www.lemediatv.fr/articles/2020/revelations-qwant-boulet-detat-z-DwVYPzQymrJjlldr8t4g" TargetMode="External"/><Relationship Id="rIdujsqqzw_7pcwgqv4_thut" Type="http://schemas.openxmlformats.org/officeDocument/2006/relationships/hyperlink" Target="https://www.developpez.com/actu/303643/Qwant-le-faux-espoir-de-la-French-Tech" TargetMode="External"/><Relationship Id="rIda6usq8fxlpvw_swj35nps" Type="http://schemas.openxmlformats.org/officeDocument/2006/relationships/hyperlink" Target="https://www.webrankinfo.com/forum/t/qwant-vrai-ou-faux-moteur.190526/" TargetMode="External"/><Relationship Id="rIddae8e4iti5hxjelkoebhc" Type="http://schemas.openxmlformats.org/officeDocument/2006/relationships/hyperlink" Target="https://fr.linkedin.com/pulse/qwant-pourquoi-ca-ne-marche-pas-marc-longo" TargetMode="External"/><Relationship Id="rIdzeguwkwqx3vgxxsb5o4g2" Type="http://schemas.openxmlformats.org/officeDocument/2006/relationships/hyperlink" Target="https://www.acbm.com/virus/1160_Enquete_le_moteur_Qwant_offre-t-il_la_vie_privee_de_ses_utilisateurs_a_Microsoft_.html" TargetMode="External"/><Relationship Id="rIdjq6ibsefkkyzsrqi3v6z0" Type="http://schemas.openxmlformats.org/officeDocument/2006/relationships/hyperlink" Target="https://en.wikipedia.org/wiki/Qwant" TargetMode="External"/><Relationship Id="rIdy9qxp2ukxdusgba87sscj" Type="http://schemas.openxmlformats.org/officeDocument/2006/relationships/hyperlink" Target="https://www.lavoixdunord.fr/"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2026-03-10T12:51:23.316Z</dcterms:created>
  <dcterms:modified xsi:type="dcterms:W3CDTF">2026-03-10T12:51:23.316Z</dcterms:modified>
</cp:coreProperties>
</file>

<file path=docProps/custom.xml><?xml version="1.0" encoding="utf-8"?>
<Properties xmlns="http://schemas.openxmlformats.org/officeDocument/2006/custom-properties" xmlns:vt="http://schemas.openxmlformats.org/officeDocument/2006/docPropsVTypes"/>
</file>